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2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楚雄彝族自治州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2022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年政府预算公开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  <w:t>说明</w:t>
      </w:r>
    </w:p>
    <w:p>
      <w:pPr>
        <w:spacing w:line="540" w:lineRule="exact"/>
        <w:jc w:val="both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目    录</w:t>
      </w: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楚雄彝族自治州20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年地方财政预算执行情况和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草案的报告（书面）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一、2021年地方财政预算执行情况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2021年预算收支情况</w:t>
      </w:r>
    </w:p>
    <w:p>
      <w:p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一般公共预算</w:t>
      </w:r>
    </w:p>
    <w:p>
      <w:p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政府性基金预算</w:t>
      </w:r>
    </w:p>
    <w:p>
      <w:p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国有资本经营预算</w:t>
      </w:r>
    </w:p>
    <w:p>
      <w:p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社会保险基金预算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（二）2021年全州主要财政政策落实情况</w:t>
      </w:r>
    </w:p>
    <w:p>
      <w:pPr>
        <w:numPr>
          <w:ilvl w:val="0"/>
          <w:numId w:val="0"/>
        </w:num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1.坚持党对财政工作的领导，“以财辅政”理念更加</w:t>
      </w:r>
    </w:p>
    <w:p>
      <w:pPr>
        <w:widowControl w:val="0"/>
        <w:numPr>
          <w:ilvl w:val="0"/>
          <w:numId w:val="0"/>
        </w:numPr>
        <w:spacing w:line="530" w:lineRule="exact"/>
        <w:ind w:left="958" w:leftChars="456" w:firstLine="0" w:firstLineChars="0"/>
        <w:jc w:val="both"/>
        <w:rPr>
          <w:rFonts w:hint="default" w:ascii="Times New Roman" w:hAnsi="Times New Roman" w:eastAsia="方正仿宋简体" w:cs="Times New Roman"/>
          <w:bCs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 xml:space="preserve">2.抓牢财政收支管理，预算执行更加稳健。          </w:t>
      </w:r>
      <w:r>
        <w:rPr>
          <w:rFonts w:hint="default" w:ascii="Times New Roman" w:hAnsi="Times New Roman" w:eastAsia="方正仿宋简体" w:cs="Times New Roman"/>
          <w:bCs/>
          <w:spacing w:val="-23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Cs/>
          <w:spacing w:val="-11"/>
          <w:sz w:val="32"/>
          <w:szCs w:val="32"/>
          <w:lang w:val="en-US" w:eastAsia="zh-CN"/>
        </w:rPr>
        <w:t>加强重大决策部署的资金保障，财政支持重点更加突出。</w:t>
      </w:r>
    </w:p>
    <w:p>
      <w:pPr>
        <w:widowControl w:val="0"/>
        <w:numPr>
          <w:ilvl w:val="0"/>
          <w:numId w:val="0"/>
        </w:numPr>
        <w:spacing w:line="530" w:lineRule="exact"/>
        <w:ind w:left="958" w:leftChars="456" w:firstLine="0" w:firstLineChars="0"/>
        <w:jc w:val="both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4.持续加大民生投入，发展成果更加共享。</w:t>
      </w:r>
    </w:p>
    <w:p>
      <w:pPr>
        <w:widowControl w:val="0"/>
        <w:numPr>
          <w:ilvl w:val="0"/>
          <w:numId w:val="0"/>
        </w:numPr>
        <w:spacing w:line="530" w:lineRule="exact"/>
        <w:ind w:firstLine="960" w:firstLineChars="300"/>
        <w:jc w:val="both"/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5.深化财税体制改革，财政治理更加科学。</w:t>
      </w:r>
    </w:p>
    <w:p>
      <w:pPr>
        <w:spacing w:line="530" w:lineRule="exact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过去五年财政工作回顾和今后五年财政发展思路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（一）财政职能定位深化拓展，财政改革发展沿着正确方向前进。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（二）财政实力持续增强，为经济社会发展提供坚实的财力保障。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（三）三大攻坚战保障有力，助力全面建成小康社会取得决定性成就。</w:t>
      </w:r>
    </w:p>
    <w:p>
      <w:pPr>
        <w:spacing w:line="530" w:lineRule="exact"/>
        <w:ind w:firstLine="627" w:firstLineChars="196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（四）财政调控不断完善，支持高质量跨越式发展取得实质性突破。</w:t>
      </w:r>
    </w:p>
    <w:p>
      <w:pPr>
        <w:spacing w:line="530" w:lineRule="exact"/>
        <w:ind w:firstLine="627" w:firstLineChars="196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（五）民生保障水平不断提升，改革发展成果惠及更多人民群众。</w:t>
      </w:r>
    </w:p>
    <w:p>
      <w:pPr>
        <w:spacing w:line="530" w:lineRule="exact"/>
        <w:ind w:firstLine="627" w:firstLineChars="196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财税改革深入推进，现代财政制度框架初步建立。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2022年地方财政预算草案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（一）指导思想和原则</w:t>
      </w:r>
    </w:p>
    <w:p>
      <w:pPr>
        <w:spacing w:line="530" w:lineRule="exact"/>
        <w:ind w:firstLine="947" w:firstLineChars="296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预算编制的指导思想</w:t>
      </w:r>
    </w:p>
    <w:p>
      <w:pPr>
        <w:spacing w:line="530" w:lineRule="exact"/>
        <w:ind w:firstLine="947" w:firstLineChars="296"/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预算编制遵循的原则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（二）2022年全州及州本级收支预算</w:t>
      </w:r>
    </w:p>
    <w:p>
      <w:pPr>
        <w:spacing w:line="530" w:lineRule="exact"/>
        <w:ind w:firstLine="947" w:firstLineChars="2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1.一般公共预算</w:t>
      </w:r>
    </w:p>
    <w:p>
      <w:pPr>
        <w:spacing w:line="530" w:lineRule="exact"/>
        <w:ind w:firstLine="947" w:firstLineChars="2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2.政府性基金预算</w:t>
      </w:r>
    </w:p>
    <w:p>
      <w:pPr>
        <w:spacing w:line="530" w:lineRule="exact"/>
        <w:ind w:firstLine="947" w:firstLineChars="2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3.国有资本经营预算</w:t>
      </w:r>
    </w:p>
    <w:p>
      <w:pPr>
        <w:spacing w:line="530" w:lineRule="exact"/>
        <w:ind w:firstLine="947" w:firstLineChars="2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4.社会保险基金预算</w:t>
      </w:r>
    </w:p>
    <w:p>
      <w:pPr>
        <w:spacing w:line="530" w:lineRule="exact"/>
        <w:ind w:firstLine="64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2022年财政工作措施</w:t>
      </w:r>
    </w:p>
    <w:p>
      <w:pPr>
        <w:numPr>
          <w:ilvl w:val="0"/>
          <w:numId w:val="0"/>
        </w:num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1.坚持党对财政工作的全面领导。</w:t>
      </w:r>
    </w:p>
    <w:p>
      <w:pPr>
        <w:numPr>
          <w:ilvl w:val="0"/>
          <w:numId w:val="0"/>
        </w:num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2.落实产业强州三年行动财税政策。</w:t>
      </w:r>
    </w:p>
    <w:p>
      <w:pPr>
        <w:numPr>
          <w:ilvl w:val="0"/>
          <w:numId w:val="0"/>
        </w:num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3.发挥财政稳投资促消费作用。</w:t>
      </w:r>
    </w:p>
    <w:p>
      <w:p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4.统筹推进城乡可持续发展。</w:t>
      </w:r>
    </w:p>
    <w:p>
      <w:pPr>
        <w:spacing w:line="530" w:lineRule="exact"/>
        <w:ind w:firstLine="960" w:firstLineChars="3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5.兜牢兜实基本民生底线。</w:t>
      </w:r>
    </w:p>
    <w:p>
      <w:pPr>
        <w:spacing w:line="53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6.守牢安全发展底线。               </w:t>
      </w:r>
    </w:p>
    <w:p>
      <w:pPr>
        <w:spacing w:line="530" w:lineRule="exact"/>
        <w:ind w:firstLine="960" w:firstLineChars="3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7.持续提升财政治理效能。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第二部分：楚雄彝族自治州20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年地方财政预算执行情况和20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（草案）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表一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年楚雄州一般公共预算收支情况表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年楚雄州一般公共预算支出执行情况表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表三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年楚雄州本级一般公共预算收支情况表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表四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年楚雄州本级一般公共预算支出执行情况表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年楚雄州政府性基金预算收入执行情况表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表六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年楚雄州政府性基金预算支出执行情况表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表七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年楚雄州本级政府性基金预算收入执行情况表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表八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年楚雄州本级政府性基金预算支出执行情况表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表九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年楚雄州国有资本经营预算收入执行情况表</w:t>
      </w:r>
    </w:p>
    <w:p>
      <w:pPr>
        <w:spacing w:line="530" w:lineRule="exact"/>
        <w:ind w:firstLine="715" w:firstLineChars="250"/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年楚雄州本级国有资本经营预算收入执行情况表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表十一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年楚雄州社会保险基金收入执行情况表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表十二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年楚雄州社会保险基金支出执行情况表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年楚雄州社会保险基金结余执行情况表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年楚雄州本级社会保险基金收入执行情况表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表十五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年楚雄州本级社会保险基金支出执行情况表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表十六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年楚雄州本级社会保险基金结余执行情况表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表十七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年楚雄州一般公共预算收支情况表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年楚雄州一般公共预算支出情况表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表十九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年楚雄州本级一般公共预算收支情况表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年楚雄州本级一般公共预算支出情况表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表二十一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年楚雄州州本级财政项目支出预算表</w:t>
      </w:r>
    </w:p>
    <w:p>
      <w:pPr>
        <w:spacing w:line="530" w:lineRule="exact"/>
        <w:ind w:firstLine="858" w:firstLineChars="300"/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表二十二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年楚雄州分县市税收返还和转移支付预算表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表二十三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年楚雄州本级一般公共预算政府预算经济分类表(基本支出)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表二十四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年楚雄州政府性基金预算收入情况表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表二十五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年楚雄州政府性基金预算支出情况表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表二十六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年楚雄州本级政府性基金预算收入情况表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表二十七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年楚雄州本级政府性基金预算支出情况表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表二十八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年楚雄州本级政府性基金支出表(州对下转移支付)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表二十九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年楚雄州国有资本经营收入预算情况表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表三十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年楚雄州本级国有资本经营收入预算情况表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表三十一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年楚雄州社会保险基金收入预算情况表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表三十二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年楚雄州社会保险基金支出预算情况表</w:t>
      </w:r>
    </w:p>
    <w:p>
      <w:pPr>
        <w:spacing w:line="530" w:lineRule="exact"/>
        <w:ind w:firstLine="770" w:firstLineChars="25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表三十三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年楚雄州社会保险基金结余预算情况表</w:t>
      </w:r>
    </w:p>
    <w:p>
      <w:pPr>
        <w:spacing w:line="530" w:lineRule="exact"/>
        <w:ind w:firstLine="822" w:firstLineChars="300"/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  <w:t>表三十四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  <w:t>年楚雄州本级社会保险基金收入预算情况表</w:t>
      </w:r>
    </w:p>
    <w:p>
      <w:pPr>
        <w:spacing w:line="530" w:lineRule="exact"/>
        <w:ind w:firstLine="715" w:firstLineChars="250"/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表三十五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年楚雄州本级社会保险基金支出预算情况表</w:t>
      </w:r>
    </w:p>
    <w:p>
      <w:pPr>
        <w:spacing w:line="530" w:lineRule="exact"/>
        <w:ind w:firstLine="715" w:firstLineChars="250"/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表三十六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年楚雄州本级社会保险基金结余预算情况表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表三十七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年楚雄州政府债务限额和余额情况表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表三十八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年楚雄州地方政府债务投向情况表</w:t>
      </w:r>
    </w:p>
    <w:p>
      <w:pPr>
        <w:spacing w:line="530" w:lineRule="exact"/>
        <w:ind w:firstLine="745" w:firstLineChars="25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表三十九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年楚雄州本级地方政府债务投向情况表</w:t>
      </w:r>
    </w:p>
    <w:p>
      <w:pPr>
        <w:spacing w:line="530" w:lineRule="exact"/>
        <w:ind w:firstLine="800" w:firstLineChars="25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表四十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年楚雄州政府债务限额和余额情况表</w:t>
      </w:r>
    </w:p>
    <w:p>
      <w:pPr>
        <w:spacing w:line="530" w:lineRule="exact"/>
        <w:ind w:firstLine="820"/>
        <w:jc w:val="both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表四十一、楚雄州及州本级2021年债务限额表</w:t>
      </w:r>
    </w:p>
    <w:p>
      <w:pPr>
        <w:spacing w:line="530" w:lineRule="exact"/>
        <w:ind w:firstLine="820"/>
        <w:jc w:val="both"/>
        <w:rPr>
          <w:rFonts w:hint="default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表四十二、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楚雄州2022年提前下达新增专项债券项目明细表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部分：楚雄州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ascii="Times New Roman" w:hAnsi="Times New Roman" w:eastAsia="方正小标宋简体" w:cs="Times New Roman"/>
          <w:sz w:val="44"/>
          <w:szCs w:val="44"/>
        </w:rPr>
        <w:t>年政府预算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公开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补充表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方正楷体简体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表一、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楚雄州州本级“三公”经费预算财政拨款情况统计表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表二、重点工作情况解释说明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三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、2022年楚雄州本级国有资本经营预算转移支付表（分项目）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四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、2022年楚雄州州本级一般公共预算支出表（州对下转移支付项目）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50"/>
        <w:jc w:val="left"/>
        <w:textAlignment w:val="auto"/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  <w:lang w:eastAsia="zh-CN"/>
        </w:rPr>
        <w:t>五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、楚雄州2021年地方政府债务限额及余额预算情况表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六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、楚雄州2021年地方政府一般债务余额情况表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50"/>
        <w:jc w:val="left"/>
        <w:textAlignment w:val="auto"/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  <w:lang w:eastAsia="zh-CN"/>
        </w:rPr>
        <w:t>七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、楚雄州本级2021年地方政府一般债务余额情况表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八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、楚雄州2021年地方政府专项债务余额情况表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50"/>
        <w:jc w:val="left"/>
        <w:textAlignment w:val="auto"/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  <w:lang w:eastAsia="zh-CN"/>
        </w:rPr>
        <w:t>九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、楚雄州本级2021年地方政府专项债务余额情况表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表十、楚雄州地方政府债券发行及还本付息情况表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50"/>
        <w:jc w:val="left"/>
        <w:textAlignment w:val="auto"/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表十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  <w:lang w:eastAsia="zh-CN"/>
        </w:rPr>
        <w:t>一</w:t>
      </w:r>
      <w:r>
        <w:rPr>
          <w:rFonts w:hint="eastAsia" w:ascii="方正楷体简体" w:hAnsi="Times New Roman" w:eastAsia="方正楷体简体" w:cs="Times New Roman"/>
          <w:spacing w:val="-11"/>
          <w:sz w:val="32"/>
          <w:szCs w:val="32"/>
        </w:rPr>
        <w:t>、楚雄州2022年地方政府债务限额提前下达情况表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二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、楚雄州2022年年初新增地方政府债券资金安排表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部分：楚雄州20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年政府预算解读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一、2022年财政预算草案起草的主要过程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二、2022年财政收支预算安排情况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（一）一般公共预算安排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（二）一般公共预算编制的说明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三、202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年州级预算安排说明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（一）州级可用财力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（二）州级财政预算支出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（三）财政预算安排的说明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四、社会保险基金预算相关情况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（一）社会保险基金收入预算编制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（二）社会保险基金支出预算编制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（三）202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年全州社会保险基金预算基本情况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年州本级社会保险基金预算基本情况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五、财政工作和财政报告主要名词注解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（一）积极的财政政策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（二）稳中求进总基调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（三）六稳六保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（四）三保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（五）一体四翼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（六）直达资金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（七）更大规模减税降费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（八）供给侧结构性改革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（九）“三去一降一补”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（十）深化财税体制改革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（十一）基本公共服务均等化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（十二）现代财政制度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（十三）三年中期财政规划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（十四）预算稳定调节基金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（十五）调入资金和调出资金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（十六）结余结转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（十七）地方政府债务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（十八）地方政府债务限额管理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（十九）债务风险防范预警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（二十）政府置换债券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（二十一）政府新增债券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（二十二）政府一般债券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（二十三）专项债券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（二十四）政府性债务管理委员会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（二十五）地方政府隐性债务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（二十六）地方政府性债务风险应急处置机制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（二十七）预备费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（二十八）全面实施预算绩效管理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（二十九）支出经济分类科目改革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（三十）事权和支出责任划分改革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（三十一）财政体制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（三十二）转移支付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（三十三）一般性转移支付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（三十四）均衡性转移支付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（三十五）民族地区转移支付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（三十六）重点生态功能区转移支付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（三十七）专项转移支付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（三十八）县级基本财力保障机制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（三十九）财政存量资金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（四十）全口径预算管理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（四十一）部门预算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（四十二）国库集中收付制度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（四十三）国库集中支付电子化管理改革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（四十四）农村综合改革转移支付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（四十五）财政衔接推进乡村振兴补助资金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（四十六）城乡义务教育经费保障机制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（四十七）乡村教师支持计划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（四十八）高中阶段教育普及攻坚行动计划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（四十九）农村义务教育阶段学生营养改善计划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（五十）鼓励社会力量兴办教育促进民办教育发展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一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）生均经费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二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）机关事业单位养老保险制度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三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）城乡居民基本养老保险制度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四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）城乡居民最低生活保障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五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）城乡居民基本医疗保险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六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）医药卫生体制改革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七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）基本公共卫生服务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（五十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八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）国家基本药物制度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（五十九）公立医院综合改革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（六十）降低社会保险费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（六十一）疫情防控财政保障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（六十二）民生支出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（六十三）“三公”经费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（六十四）临时救助制度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（六十五）资源税从价计征改革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（六十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六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）政府购买服务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（六十七）</w:t>
      </w:r>
      <w:r>
        <w:rPr>
          <w:rFonts w:hint="default" w:ascii="方正楷体简体" w:hAnsi="Times New Roman" w:eastAsia="方正楷体简体" w:cs="Times New Roman"/>
          <w:sz w:val="32"/>
          <w:szCs w:val="32"/>
          <w:lang w:eastAsia="zh-CN"/>
        </w:rPr>
        <w:t>统筹整合使用财政涉农资金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（六十八）</w:t>
      </w:r>
      <w:r>
        <w:rPr>
          <w:rFonts w:hint="default" w:ascii="方正楷体简体" w:hAnsi="Times New Roman" w:eastAsia="方正楷体简体" w:cs="Times New Roman"/>
          <w:sz w:val="32"/>
          <w:szCs w:val="32"/>
          <w:lang w:eastAsia="zh-CN"/>
        </w:rPr>
        <w:t>预算联网监督系统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6"/>
        <w:sz w:val="28"/>
        <w:szCs w:val="28"/>
      </w:rPr>
    </w:pPr>
    <w:r>
      <w:rPr>
        <w:rStyle w:val="6"/>
        <w:sz w:val="28"/>
        <w:szCs w:val="28"/>
      </w:rPr>
      <w:ptab w:relativeTo="margin" w:alignment="center" w:leader="none"/>
    </w:r>
    <w:r>
      <w:rPr>
        <w:rStyle w:val="6"/>
        <w:rFonts w:hint="eastAsia"/>
        <w:sz w:val="28"/>
        <w:szCs w:val="28"/>
      </w:rPr>
      <w:t>-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44EA"/>
    <w:rsid w:val="00057C7A"/>
    <w:rsid w:val="00127A34"/>
    <w:rsid w:val="001E7A5B"/>
    <w:rsid w:val="004800C8"/>
    <w:rsid w:val="005A79A2"/>
    <w:rsid w:val="006F3769"/>
    <w:rsid w:val="00796242"/>
    <w:rsid w:val="009C389F"/>
    <w:rsid w:val="00A648CA"/>
    <w:rsid w:val="00AE7EEC"/>
    <w:rsid w:val="00B40B20"/>
    <w:rsid w:val="00B4380A"/>
    <w:rsid w:val="00BC089A"/>
    <w:rsid w:val="00CF4C1A"/>
    <w:rsid w:val="00DD3549"/>
    <w:rsid w:val="00F04C72"/>
    <w:rsid w:val="00F10DC8"/>
    <w:rsid w:val="00F75725"/>
    <w:rsid w:val="00F835A8"/>
    <w:rsid w:val="083644EA"/>
    <w:rsid w:val="16781202"/>
    <w:rsid w:val="194525BA"/>
    <w:rsid w:val="1FA600D8"/>
    <w:rsid w:val="246A588F"/>
    <w:rsid w:val="305322C6"/>
    <w:rsid w:val="359945C0"/>
    <w:rsid w:val="4DE164E7"/>
    <w:rsid w:val="54AB672C"/>
    <w:rsid w:val="6FF2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Char"/>
    <w:basedOn w:val="5"/>
    <w:link w:val="9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2021C-3A8A-413A-ABBB-AA3B94E3E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463</Words>
  <Characters>2645</Characters>
  <Lines>22</Lines>
  <Paragraphs>6</Paragraphs>
  <TotalTime>9</TotalTime>
  <ScaleCrop>false</ScaleCrop>
  <LinksUpToDate>false</LinksUpToDate>
  <CharactersWithSpaces>3102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2018-01-12T14:54:00Z</dcterms:created>
  <dc:creator>果果</dc:creator>
  <cp:lastModifiedBy>陈海峰</cp:lastModifiedBy>
  <cp:lastPrinted>2021-02-24T00:28:00Z</cp:lastPrinted>
  <dcterms:modified xsi:type="dcterms:W3CDTF">2022-03-03T08:28:00Z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