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20"/>
          <w:sz w:val="48"/>
          <w:szCs w:val="48"/>
        </w:rPr>
      </w:pP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楚雄彝族自治州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2023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说明</w:t>
      </w:r>
    </w:p>
    <w:p>
      <w:pPr>
        <w:spacing w:line="540" w:lineRule="exact"/>
        <w:jc w:val="both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一、202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年预算收支情况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一般公共预算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政府性基金预算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国有资本经营预算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社会保险基金预算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eastAsia="zh-CN"/>
        </w:rPr>
        <w:t>2022年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全州主要财政政策落实情况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1.落实积极财政政策，精准发力助企纾困</w:t>
      </w:r>
    </w:p>
    <w:p>
      <w:pPr>
        <w:widowControl w:val="0"/>
        <w:numPr>
          <w:ilvl w:val="0"/>
          <w:numId w:val="0"/>
        </w:numPr>
        <w:spacing w:line="530" w:lineRule="exact"/>
        <w:ind w:left="958" w:leftChars="456" w:firstLine="0" w:firstLineChars="0"/>
        <w:jc w:val="both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2.加强财政收支管理，保障财政平稳运行</w:t>
      </w:r>
    </w:p>
    <w:p>
      <w:pPr>
        <w:widowControl w:val="0"/>
        <w:numPr>
          <w:ilvl w:val="0"/>
          <w:numId w:val="0"/>
        </w:numPr>
        <w:spacing w:line="530" w:lineRule="exact"/>
        <w:ind w:left="958" w:leftChars="456" w:firstLine="0" w:firstLineChars="0"/>
        <w:jc w:val="both"/>
        <w:rPr>
          <w:rFonts w:hint="default" w:ascii="Times New Roman" w:hAnsi="Times New Roman" w:eastAsia="方正仿宋简体" w:cs="Times New Roman"/>
          <w:bCs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pacing w:val="-23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Cs/>
          <w:spacing w:val="-11"/>
          <w:sz w:val="32"/>
          <w:szCs w:val="32"/>
          <w:lang w:val="en-US" w:eastAsia="zh-CN"/>
        </w:rPr>
        <w:t>保障重点领域投入，推动经济高质量发展</w:t>
      </w:r>
    </w:p>
    <w:p>
      <w:pPr>
        <w:widowControl w:val="0"/>
        <w:numPr>
          <w:ilvl w:val="0"/>
          <w:numId w:val="0"/>
        </w:numPr>
        <w:spacing w:line="530" w:lineRule="exact"/>
        <w:ind w:left="958" w:leftChars="456" w:firstLine="0" w:firstLineChars="0"/>
        <w:jc w:val="both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4.织密扎牢民生保障网，统筹增进民生福祉</w:t>
      </w:r>
    </w:p>
    <w:p>
      <w:pPr>
        <w:widowControl w:val="0"/>
        <w:numPr>
          <w:ilvl w:val="0"/>
          <w:numId w:val="0"/>
        </w:numPr>
        <w:spacing w:line="530" w:lineRule="exact"/>
        <w:ind w:firstLine="960" w:firstLineChars="300"/>
        <w:jc w:val="both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5.防范化解重大风险，守牢安全发展底线</w:t>
      </w:r>
    </w:p>
    <w:p>
      <w:pPr>
        <w:widowControl w:val="0"/>
        <w:numPr>
          <w:ilvl w:val="0"/>
          <w:numId w:val="0"/>
        </w:numPr>
        <w:spacing w:line="530" w:lineRule="exact"/>
        <w:ind w:firstLine="960" w:firstLineChars="300"/>
        <w:jc w:val="both"/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6.深化财税体制改革，提升现代化财政治理水平</w:t>
      </w:r>
    </w:p>
    <w:p>
      <w:pPr>
        <w:widowControl w:val="0"/>
        <w:numPr>
          <w:ilvl w:val="0"/>
          <w:numId w:val="0"/>
        </w:numPr>
        <w:spacing w:line="530" w:lineRule="exact"/>
        <w:ind w:firstLine="960" w:firstLineChars="300"/>
        <w:jc w:val="both"/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7.抓实稳金融政策落实，增强服务实体经济能力</w:t>
      </w:r>
    </w:p>
    <w:p>
      <w:pPr>
        <w:widowControl w:val="0"/>
        <w:numPr>
          <w:ilvl w:val="0"/>
          <w:numId w:val="0"/>
        </w:numPr>
        <w:spacing w:line="530" w:lineRule="exact"/>
        <w:ind w:firstLine="960" w:firstLineChars="300"/>
        <w:jc w:val="both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8.国企改革三年行动圆满收官，发展活力进一步增强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2022年地方财政预算草案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（一）指导思想和原则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预算编制的指导思想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预算编制遵循的原则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（二）202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年全州及州本级收支预算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1.一般公共预算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2.政府性基金预算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3.国有资本经营预算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4.社会保险基金预算</w:t>
      </w:r>
    </w:p>
    <w:p>
      <w:pPr>
        <w:spacing w:line="530" w:lineRule="exact"/>
        <w:ind w:firstLine="64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2023年财政重点工作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1.增强产业强州战略财力保障，加快构建现代化产业体系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2.强化财政政策集成，支持深入挖掘内需潜力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3.促进区域协调发展，加快推进新型城市建设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4.做实做细民生实事，提升基本民生保障能力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5.坚持统筹发展和安全，筑牢安全发展屏障</w:t>
      </w:r>
    </w:p>
    <w:p>
      <w:pPr>
        <w:spacing w:line="53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6.全面深化财政体制改革，更好服务保障中心任务               </w:t>
      </w:r>
    </w:p>
    <w:p>
      <w:pPr>
        <w:spacing w:line="530" w:lineRule="exact"/>
        <w:ind w:firstLine="960" w:firstLineChars="3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7.持续优化金融生态环境，推动金融业健康发展</w:t>
      </w:r>
    </w:p>
    <w:p>
      <w:pPr>
        <w:spacing w:line="530" w:lineRule="exact"/>
        <w:ind w:firstLine="960" w:firstLineChars="3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8.蹄疾步稳深化国企改革，以小切口助力大发展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年楚雄州本级一般公共预算收支情况表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年楚雄州本级一般公共预算支出执行情况表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年楚雄州政府性基金预算收入执行情况表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年楚雄州政府性基金预算支出执行情况表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表八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年楚雄州本级政府性基金预算支出执行情况表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年楚雄州国有资本经营预算收入执行情况表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、2022年楚雄州国有资本经营预算支出执行情况表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ab/>
      </w: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表十一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、2022年楚雄州本级国有资本经营预算收入执行情况表</w:t>
      </w:r>
    </w:p>
    <w:p>
      <w:pPr>
        <w:spacing w:line="530" w:lineRule="exact"/>
        <w:ind w:firstLine="700" w:firstLineChars="250"/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、2022年楚雄州本级国有资本经营预算支出执行情况表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、2022年楚雄州社会保险基金收入执行情况表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、2022年楚雄州社会保险基金支出执行情况表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ab/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、2022年楚雄州社会保险基金结余执行情况表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、2022年楚雄州本级社会保险基金收入执行情况表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2022年楚雄州本级社会保险基金支出执行情况表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2022年楚雄州本级社会保险基金结余执行情况表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2023年楚雄州一般公共预算支出情况表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表二十一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2023年楚雄州本级一般公共预算收支情况表</w:t>
      </w:r>
    </w:p>
    <w:p>
      <w:pPr>
        <w:spacing w:line="530" w:lineRule="exact"/>
        <w:ind w:firstLine="858" w:firstLineChars="30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表二十二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2023年楚雄州本级一般公共预算支出情况表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ab/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表二十三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2023年楚雄州州本级财政项目支出预算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2023年均衡性转移支付分地区情况表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ab/>
      </w:r>
    </w:p>
    <w:p>
      <w:pPr>
        <w:spacing w:line="530" w:lineRule="exact"/>
        <w:ind w:firstLine="685" w:firstLineChars="250"/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表二十五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2023年县级基本财力保障机制奖补资金分地区情况表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表二十六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2023年重点生态功能区转移支付分地区情况表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表二十七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2023年楚雄州分县市税收返还和转移支付预算表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表二十八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2023年楚雄州本级一般公共预算政府预算经济分类表(基本支出)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2023年楚雄州政府性基金预算收入情况表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ab/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2023年楚雄州政府性基金预算支出情况表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ab/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表三十一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2023年楚雄州本级政府性基金预算收入情况表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ab/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表三十二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2023年楚雄州本级政府性基金预算支出情况表</w:t>
      </w:r>
    </w:p>
    <w:p>
      <w:pPr>
        <w:spacing w:line="530" w:lineRule="exact"/>
        <w:ind w:firstLine="66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</w:rPr>
        <w:t>表三十三</w:t>
      </w: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</w:rPr>
        <w:t>2023年楚雄州本级政府性基金支出表(州对下转移支付)</w:t>
      </w:r>
    </w:p>
    <w:p>
      <w:pPr>
        <w:spacing w:line="530" w:lineRule="exact"/>
        <w:ind w:firstLine="822" w:firstLineChars="300"/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表三十四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2023年楚雄州国有资本经营预算收入情况表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ab/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表三十五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2023年楚雄州国有资本经营预算支出情况表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ab/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表三十六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2023年楚雄州本级国有资本经营预算收入情况表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表三十七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、2023年楚雄州本级国有资本经营预算支出情况表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表三十八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、2023年楚雄州社会保险基金预算收入情况表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ab/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表三十九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、2023年楚雄州社会保险基金预算支出情况表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ab/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2023年楚雄州社会保险基金预算结余情况表</w:t>
      </w:r>
    </w:p>
    <w:p>
      <w:pPr>
        <w:spacing w:line="530" w:lineRule="exact"/>
        <w:ind w:firstLine="820"/>
        <w:jc w:val="both"/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表四十一、2023年楚雄州本级社会保险基金预算收入情况表</w:t>
      </w:r>
    </w:p>
    <w:p>
      <w:pPr>
        <w:spacing w:line="530" w:lineRule="exact"/>
        <w:ind w:firstLine="820"/>
        <w:jc w:val="both"/>
        <w:rPr>
          <w:rFonts w:hint="default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表四十二、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2023年楚雄州本级社会保险基金预算支出情况表</w:t>
      </w:r>
    </w:p>
    <w:p>
      <w:pPr>
        <w:spacing w:line="530" w:lineRule="exact"/>
        <w:ind w:firstLine="84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表四十三、2023年楚雄州本级社会保险基金预算结余情况表</w:t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表四十四、2022年楚雄州政府债务限额和余额情况表</w:t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表四十五、2022年楚雄州地方政府债务投向情况表</w:t>
      </w:r>
    </w:p>
    <w:p>
      <w:pPr>
        <w:spacing w:line="530" w:lineRule="exact"/>
        <w:ind w:firstLine="924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表四十六、2022年楚雄州本级地方政府债务投向情况表</w:t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表四十七、2023年楚雄州政府债务限额和余额情况表</w:t>
      </w:r>
    </w:p>
    <w:p>
      <w:pPr>
        <w:spacing w:line="530" w:lineRule="exact"/>
        <w:ind w:firstLine="792" w:firstLineChars="300"/>
        <w:jc w:val="both"/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val="en-US" w:eastAsia="zh-CN"/>
        </w:rPr>
        <w:t>表四十八、2023年楚雄州州本级“三公”经费预算财政拨款情况统计表</w:t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表四十九、重点工作情况解释说明汇总表</w:t>
      </w:r>
      <w:bookmarkStart w:id="0" w:name="_GoBack"/>
      <w:bookmarkEnd w:id="0"/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表五十、2023年楚雄州州本级重大政策和重点项目绩效目标表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表五十一、2023年楚雄州州本级国有资本经营预算转移支付表（分县市）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表五十二、2023年楚雄州本级国有资本经营预算转移支付表（分项目）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表五十三、2023年楚雄州州本级一般公共预算支出表       （州对下转移支付项目）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792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val="en-US" w:eastAsia="zh-CN"/>
        </w:rPr>
        <w:t>表五十四、楚雄州2022年地方政府债务限额及余额预算情况表</w:t>
      </w: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pacing w:val="-28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表五十五、楚雄州2022年地方政府一般债务余额情况表</w:t>
      </w:r>
    </w:p>
    <w:p>
      <w:pPr>
        <w:spacing w:line="530" w:lineRule="exact"/>
        <w:ind w:firstLine="84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表五十六、楚雄州本级2022年地方政府一般债务余额情况表</w:t>
      </w:r>
    </w:p>
    <w:p>
      <w:pPr>
        <w:spacing w:line="530" w:lineRule="exact"/>
        <w:ind w:firstLine="894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表五十七、楚雄州2022年地方政府专项债务余额情况表</w:t>
      </w:r>
    </w:p>
    <w:p>
      <w:pPr>
        <w:spacing w:line="530" w:lineRule="exact"/>
        <w:ind w:firstLine="822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val="en-US" w:eastAsia="zh-CN"/>
        </w:rPr>
        <w:t>表五十八、楚雄州本级2022年地方政府专项债务余额情况表</w:t>
      </w:r>
    </w:p>
    <w:p>
      <w:pPr>
        <w:spacing w:line="530" w:lineRule="exact"/>
        <w:ind w:firstLine="924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表五十九、楚雄州地方政府债券发行及还本付息情况表</w:t>
      </w:r>
    </w:p>
    <w:p>
      <w:pPr>
        <w:spacing w:line="530" w:lineRule="exact"/>
        <w:ind w:firstLine="858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表六十、楚雄州2023年地方政府债务限额提前下达情况表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表六十一、楚雄州2023年年初新增地方政府债券资金安排表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ab/>
      </w: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</w:p>
    <w:p>
      <w:p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部分：楚雄州20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23</w:t>
      </w:r>
      <w:r>
        <w:rPr>
          <w:rFonts w:ascii="Times New Roman" w:hAnsi="Times New Roman" w:eastAsia="方正小标宋简体" w:cs="Times New Roman"/>
          <w:sz w:val="44"/>
          <w:szCs w:val="44"/>
        </w:rPr>
        <w:t>年政府预算解读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楚雄州2022年地方财政预算执行情况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四本预算执行情况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增值税留抵退税情况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直达资金管理情况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楚雄州2023年地方财政预算草案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2023年财政预算草案起草的主要过程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2023年全州一般公共预算收支安排情况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2023年州级预算安排说明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财政“三保”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概念及范围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“三保”支出需求的计算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“三保”预算执行情况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财政工作和财政报告主要名词注解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积极的财政政策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六稳六保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地方政府债务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地方政府隐性债务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增值税留抵退税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“双减”政策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零基预算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民生支出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预算绩效管理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一）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直达资金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“7个标志性战役”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十四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教育投入“两个只增不减”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义务教育“两免一补”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十六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“五大枢纽”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十七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健全现代预算制度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十八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预算管理一体化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三年中期财政规划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预算稳定调节基金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调入资金和调出资金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结余结转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“楚金云”服务平台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二十四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EVA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二十五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ERP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ptab w:relativeTo="margin" w:alignment="center" w:leader="none"/>
    </w: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83644EA"/>
    <w:rsid w:val="16781202"/>
    <w:rsid w:val="194525BA"/>
    <w:rsid w:val="1A7D0BDB"/>
    <w:rsid w:val="1FA600D8"/>
    <w:rsid w:val="246A588F"/>
    <w:rsid w:val="2E28026F"/>
    <w:rsid w:val="305322C6"/>
    <w:rsid w:val="359945C0"/>
    <w:rsid w:val="4F772199"/>
    <w:rsid w:val="54AB672C"/>
    <w:rsid w:val="6FF208E8"/>
    <w:rsid w:val="7A7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Char"/>
    <w:basedOn w:val="5"/>
    <w:link w:val="9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6</TotalTime>
  <ScaleCrop>false</ScaleCrop>
  <LinksUpToDate>false</LinksUpToDate>
  <CharactersWithSpaces>3102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陈海峰</cp:lastModifiedBy>
  <cp:lastPrinted>2021-02-24T00:28:00Z</cp:lastPrinted>
  <dcterms:modified xsi:type="dcterms:W3CDTF">2023-02-27T09:34:12Z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