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pPr>
        <w:rPr>
          <w:rFonts w:ascii="Arial" w:eastAsia="Arial" w:hAnsi="Arial" w:cs="Arial"/>
          <w:b/>
          <w:sz w:val="36"/>
        </w:rPr>
      </w:pPr>
      <w:r>
        <w:rPr>
          <w:rFonts w:ascii="Arial" w:eastAsia="Arial" w:hAnsi="Arial" w:cs="Arial"/>
          <w:b/>
          <w:sz w:val="36"/>
        </w:rPr>
        <w:t>监督索引号53230000274500000</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rightChars="0"/>
        <w:jc w:val="center"/>
        <w:textAlignment w:val="auto"/>
        <w:rPr>
          <w:rFonts w:ascii="方正小标宋简体" w:eastAsia="方正小标宋简体" w:hAnsi="方正小标宋简体" w:cs="方正小标宋简体" w:hint="eastAsia"/>
          <w:sz w:val="44"/>
          <w:szCs w:val="44"/>
          <w:lang w:val="en-US"/>
        </w:rPr>
      </w:pPr>
      <w:r>
        <w:rPr>
          <w:rFonts w:ascii="方正小标宋简体" w:eastAsia="方正小标宋简体" w:hAnsi="方正小标宋简体" w:cs="方正小标宋简体" w:hint="eastAsia"/>
          <w:kern w:val="2"/>
          <w:sz w:val="44"/>
          <w:szCs w:val="44"/>
          <w:lang w:val="en-US" w:eastAsia="zh-CN" w:bidi="ar"/>
        </w:rPr>
        <w:t>楚雄州广播电视无线传输发射总台2021年预算公开目录</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rightChars="0"/>
        <w:jc w:val="both"/>
        <w:textAlignment w:val="auto"/>
        <w:rPr>
          <w:rFonts w:ascii="黑体" w:eastAsia="黑体" w:hAnsi="宋体" w:cs="黑体" w:hint="eastAsia"/>
          <w:sz w:val="30"/>
          <w:szCs w:val="30"/>
          <w:lang w:val="en-US"/>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rightChars="0"/>
        <w:jc w:val="both"/>
        <w:textAlignment w:val="auto"/>
        <w:rPr>
          <w:rFonts w:ascii="方正黑体简体" w:eastAsia="方正黑体简体" w:hAnsi="方正黑体简体" w:cs="方正黑体简体" w:hint="eastAsia"/>
          <w:kern w:val="2"/>
          <w:sz w:val="32"/>
          <w:szCs w:val="32"/>
          <w:lang w:val="en-US" w:eastAsia="zh-CN" w:bidi="ar"/>
        </w:rPr>
      </w:pPr>
      <w:r>
        <w:rPr>
          <w:rFonts w:ascii="方正黑体简体" w:eastAsia="方正黑体简体" w:hAnsi="方正黑体简体" w:cs="方正黑体简体" w:hint="eastAsia"/>
          <w:kern w:val="2"/>
          <w:sz w:val="32"/>
          <w:szCs w:val="32"/>
          <w:lang w:val="en-US" w:eastAsia="zh-CN" w:bidi="ar"/>
        </w:rPr>
        <w:t>第一部分 楚雄州广播电视无线传输发射总台2021年部门预算编制说明</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lang w:val="en-US" w:eastAsia="zh-CN"/>
        </w:rPr>
        <w:t>一、</w:t>
      </w:r>
      <w:r>
        <w:rPr>
          <w:rFonts w:ascii="方正仿宋简体" w:eastAsia="方正仿宋简体" w:hAnsi="方正仿宋简体" w:cs="方正仿宋简体" w:hint="eastAsia"/>
          <w:color w:val="auto"/>
          <w:kern w:val="0"/>
          <w:sz w:val="32"/>
          <w:szCs w:val="32"/>
        </w:rPr>
        <w:t>基本职能及主要工作</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二、预算单位基本情况</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三、预算单位收入情况</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四、预算单位支出情况</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五、</w:t>
      </w:r>
      <w:r>
        <w:rPr>
          <w:rFonts w:ascii="方正仿宋简体" w:eastAsia="方正仿宋简体" w:hAnsi="方正仿宋简体" w:cs="方正仿宋简体" w:hint="eastAsia"/>
          <w:color w:val="auto"/>
          <w:kern w:val="0"/>
          <w:sz w:val="32"/>
          <w:szCs w:val="32"/>
          <w:lang w:val="en-US" w:eastAsia="zh-CN"/>
        </w:rPr>
        <w:t>州</w:t>
      </w:r>
      <w:r>
        <w:rPr>
          <w:rFonts w:ascii="方正仿宋简体" w:eastAsia="方正仿宋简体" w:hAnsi="方正仿宋简体" w:cs="方正仿宋简体" w:hint="eastAsia"/>
          <w:color w:val="auto"/>
          <w:kern w:val="0"/>
          <w:sz w:val="32"/>
          <w:szCs w:val="32"/>
        </w:rPr>
        <w:t>对下专项转移支付情况</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六、政府采购预算情况</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七、部门“三公”经费增减变化情况及原因说明</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ascii="方正仿宋简体" w:eastAsia="方正仿宋简体" w:hAnsi="方正仿宋简体" w:cs="方正仿宋简体" w:hint="eastAsia"/>
          <w:color w:val="auto"/>
          <w:kern w:val="0"/>
          <w:sz w:val="32"/>
          <w:szCs w:val="32"/>
        </w:rPr>
      </w:pPr>
      <w:r>
        <w:rPr>
          <w:rFonts w:ascii="方正仿宋简体" w:eastAsia="方正仿宋简体" w:hAnsi="方正仿宋简体" w:cs="方正仿宋简体" w:hint="eastAsia"/>
          <w:color w:val="auto"/>
          <w:kern w:val="0"/>
          <w:sz w:val="32"/>
          <w:szCs w:val="32"/>
        </w:rPr>
        <w:t>八、重点项目预算绩效目标情况</w:t>
      </w:r>
    </w:p>
    <w:p>
      <w:pPr>
        <w:keepNext w:val="0"/>
        <w:keepLines w:val="0"/>
        <w:pageBreakBefore w:val="0"/>
        <w:widowControl/>
        <w:kinsoku/>
        <w:wordWrap/>
        <w:overflowPunct/>
        <w:topLinePunct w:val="0"/>
        <w:autoSpaceDE/>
        <w:autoSpaceDN/>
        <w:bidi w:val="0"/>
        <w:adjustRightInd/>
        <w:snapToGrid/>
        <w:spacing w:after="200" w:line="560" w:lineRule="exact"/>
        <w:ind w:left="0" w:right="0" w:firstLine="0" w:leftChars="0" w:rightChars="0" w:firstLineChars="0"/>
        <w:jc w:val="left"/>
        <w:textAlignment w:val="auto"/>
        <w:outlineLvl w:val="9"/>
        <w:rPr>
          <w:rFonts w:hint="eastAsia"/>
          <w:color w:val="auto"/>
          <w:lang w:val="en-US"/>
        </w:rPr>
      </w:pPr>
      <w:r>
        <w:rPr>
          <w:rFonts w:ascii="方正仿宋简体" w:eastAsia="方正仿宋简体" w:hAnsi="方正仿宋简体" w:cs="方正仿宋简体" w:hint="eastAsia"/>
          <w:color w:val="auto"/>
          <w:kern w:val="0"/>
          <w:sz w:val="32"/>
          <w:szCs w:val="32"/>
        </w:rPr>
        <w:t>九、其他公开信息</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rightChars="0"/>
        <w:jc w:val="both"/>
        <w:textAlignment w:val="auto"/>
        <w:rPr>
          <w:rFonts w:ascii="方正黑体简体" w:eastAsia="方正黑体简体" w:hAnsi="方正黑体简体" w:cs="方正黑体简体" w:hint="eastAsia"/>
          <w:sz w:val="32"/>
          <w:szCs w:val="32"/>
          <w:lang w:val="en-US"/>
        </w:rPr>
      </w:pPr>
      <w:r>
        <w:rPr>
          <w:rFonts w:ascii="方正黑体简体" w:eastAsia="方正黑体简体" w:hAnsi="方正黑体简体" w:cs="方正黑体简体" w:hint="eastAsia"/>
          <w:kern w:val="2"/>
          <w:sz w:val="32"/>
          <w:szCs w:val="32"/>
          <w:lang w:val="en-US" w:eastAsia="zh-CN" w:bidi="ar"/>
        </w:rPr>
        <w:t>第二部分 楚雄州广播电视无线传输发射总台2021年部门预算表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一、财务收支预算总表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二、部门收入预算表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三、部门支出预算表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四、财政拨款收支预算总表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五、一般公共预算支出预算表（按功能科目分类）</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六、一般公共预算“三公”经费支出预算表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七、基本支出预算表（人员类、运转类公用经费项目）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八、项目支出预算表（其他运转类、特定目标类项目）</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九、项目支出绩效目标表（本级下达）</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十、项目支出绩效目标表（另文下达）</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十一、政府性基金预算支出预算表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十二、部门政府采购预算表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十三、政府购买服务预算表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十四、州对下转移支付预算表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sz w:val="32"/>
          <w:szCs w:val="32"/>
          <w:lang w:val="en-US"/>
        </w:rPr>
      </w:pPr>
      <w:r>
        <w:rPr>
          <w:rFonts w:ascii="方正仿宋简体" w:eastAsia="方正仿宋简体" w:hAnsi="方正仿宋简体" w:cs="方正仿宋简体" w:hint="eastAsia"/>
          <w:kern w:val="2"/>
          <w:sz w:val="32"/>
          <w:szCs w:val="32"/>
          <w:lang w:val="en-US" w:eastAsia="zh-CN" w:bidi="ar"/>
        </w:rPr>
        <w:t>十五、州对下转移支付绩效目标表</w:t>
      </w:r>
    </w:p>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left="0" w:right="0" w:firstLine="0" w:leftChars="0" w:rightChars="0" w:firstLineChars="0"/>
        <w:jc w:val="both"/>
        <w:textAlignment w:val="auto"/>
        <w:outlineLvl w:val="9"/>
        <w:rPr>
          <w:rFonts w:ascii="方正仿宋简体" w:eastAsia="方正仿宋简体" w:hAnsi="方正仿宋简体" w:cs="方正仿宋简体" w:hint="eastAsia"/>
          <w:kern w:val="2"/>
          <w:sz w:val="32"/>
          <w:szCs w:val="32"/>
          <w:lang w:val="en-US" w:eastAsia="zh-CN" w:bidi="ar"/>
        </w:rPr>
      </w:pPr>
      <w:r>
        <w:rPr>
          <w:rFonts w:ascii="方正仿宋简体" w:eastAsia="方正仿宋简体" w:hAnsi="方正仿宋简体" w:cs="方正仿宋简体" w:hint="eastAsia"/>
          <w:kern w:val="2"/>
          <w:sz w:val="32"/>
          <w:szCs w:val="32"/>
          <w:lang w:val="en-US" w:eastAsia="zh-CN" w:bidi="ar"/>
        </w:rPr>
        <w:t>十六、新增资产配置表</w:t>
      </w:r>
    </w:p>
    <w:p>
      <w:pPr>
        <w:pStyle w:val="BodyText"/>
        <w:rPr>
          <w:rFonts w:ascii="方正仿宋简体" w:eastAsia="方正仿宋简体" w:hAnsi="方正仿宋简体" w:cs="方正仿宋简体" w:hint="eastAsia"/>
          <w:kern w:val="2"/>
          <w:sz w:val="32"/>
          <w:szCs w:val="32"/>
          <w:lang w:val="en-US" w:eastAsia="zh-CN" w:bidi="ar"/>
        </w:rPr>
      </w:pPr>
    </w:p>
    <w:p>
      <w:pPr>
        <w:pStyle w:val="BodyText"/>
        <w:rPr>
          <w:rFonts w:ascii="方正仿宋简体" w:eastAsia="方正仿宋简体" w:hAnsi="方正仿宋简体" w:cs="方正仿宋简体" w:hint="eastAsia"/>
          <w:kern w:val="2"/>
          <w:sz w:val="32"/>
          <w:szCs w:val="32"/>
          <w:lang w:val="en-US" w:eastAsia="zh-CN" w:bidi="ar"/>
        </w:rPr>
      </w:pPr>
    </w:p>
    <w:p>
      <w:pPr>
        <w:pStyle w:val="BodyText"/>
        <w:rPr>
          <w:rFonts w:ascii="方正仿宋简体" w:eastAsia="方正仿宋简体" w:hAnsi="方正仿宋简体" w:cs="方正仿宋简体" w:hint="eastAsia"/>
          <w:kern w:val="2"/>
          <w:sz w:val="32"/>
          <w:szCs w:val="32"/>
          <w:lang w:val="en-US" w:eastAsia="zh-CN" w:bidi="ar"/>
        </w:rPr>
      </w:pPr>
    </w:p>
    <w:p>
      <w:pPr>
        <w:pStyle w:val="BodyText"/>
        <w:rPr>
          <w:rFonts w:ascii="方正仿宋简体" w:eastAsia="方正仿宋简体" w:hAnsi="方正仿宋简体" w:cs="方正仿宋简体" w:hint="eastAsia"/>
          <w:kern w:val="2"/>
          <w:sz w:val="32"/>
          <w:szCs w:val="32"/>
          <w:lang w:val="en-US" w:eastAsia="zh-CN" w:bidi="ar"/>
        </w:rPr>
      </w:pPr>
    </w:p>
    <w:p>
      <w:pPr>
        <w:pStyle w:val="BodyText"/>
        <w:rPr>
          <w:rFonts w:ascii="方正仿宋简体" w:eastAsia="方正仿宋简体" w:hAnsi="方正仿宋简体" w:cs="方正仿宋简体" w:hint="eastAsia"/>
          <w:kern w:val="2"/>
          <w:sz w:val="32"/>
          <w:szCs w:val="32"/>
          <w:lang w:val="en-US" w:eastAsia="zh-CN" w:bidi="ar"/>
        </w:rPr>
      </w:pPr>
    </w:p>
    <w:p>
      <w:pPr>
        <w:pStyle w:val="BodyText"/>
        <w:rPr>
          <w:rFonts w:ascii="方正仿宋简体" w:eastAsia="方正仿宋简体" w:hAnsi="方正仿宋简体" w:cs="方正仿宋简体" w:hint="eastAsia"/>
          <w:kern w:val="2"/>
          <w:sz w:val="32"/>
          <w:szCs w:val="32"/>
          <w:lang w:val="en-US" w:eastAsia="zh-CN" w:bidi="ar"/>
        </w:rPr>
      </w:pPr>
    </w:p>
    <w:p>
      <w:pPr>
        <w:pStyle w:val="BodyText"/>
        <w:rPr>
          <w:rFonts w:ascii="方正仿宋简体" w:eastAsia="方正仿宋简体" w:hAnsi="方正仿宋简体" w:cs="方正仿宋简体" w:hint="eastAsia"/>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rightChars="0"/>
        <w:jc w:val="both"/>
        <w:textAlignment w:val="auto"/>
        <w:rPr>
          <w:rFonts w:ascii="黑体" w:eastAsia="黑体" w:hAnsi="宋体" w:cs="黑体" w:hint="eastAsia"/>
          <w:kern w:val="0"/>
          <w:sz w:val="30"/>
          <w:szCs w:val="30"/>
          <w:lang w:val="en-US"/>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880" w:rightChars="0" w:firstLineChars="200"/>
        <w:jc w:val="center"/>
        <w:textAlignment w:val="auto"/>
        <w:outlineLvl w:val="9"/>
        <w:rPr>
          <w:rFonts w:ascii="方正小标宋简体" w:eastAsia="方正小标宋简体" w:hAnsi="方正小标宋简体" w:cs="方正小标宋简体" w:hint="eastAsia"/>
          <w:kern w:val="0"/>
          <w:sz w:val="44"/>
          <w:szCs w:val="44"/>
          <w:lang w:val="en-US"/>
        </w:rPr>
      </w:pPr>
      <w:r>
        <w:rPr>
          <w:rFonts w:ascii="方正小标宋简体" w:eastAsia="方正小标宋简体" w:hAnsi="方正小标宋简体" w:cs="方正小标宋简体" w:hint="eastAsia"/>
          <w:kern w:val="0"/>
          <w:sz w:val="44"/>
          <w:szCs w:val="44"/>
          <w:lang w:val="en-US" w:eastAsia="zh-CN" w:bidi="ar"/>
        </w:rPr>
        <w:t>楚雄州广播电视无线传输发射总台2021年部门预算编制说明</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00" w:rightChars="0" w:firstLineChars="200"/>
        <w:jc w:val="center"/>
        <w:textAlignment w:val="auto"/>
        <w:outlineLvl w:val="9"/>
        <w:rPr>
          <w:rFonts w:ascii="方正小标宋简体" w:eastAsia="方正小标宋简体" w:hAnsi="方正小标宋简体" w:cs="方正小标宋简体" w:hint="eastAsia"/>
          <w:kern w:val="0"/>
          <w:sz w:val="30"/>
          <w:szCs w:val="30"/>
          <w:lang w:val="en-US"/>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一、基本职能及主要工作</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b/>
          <w:bCs w:val="0"/>
          <w:kern w:val="0"/>
          <w:sz w:val="32"/>
          <w:szCs w:val="32"/>
          <w:lang w:val="en-US"/>
        </w:rPr>
      </w:pPr>
      <w:r>
        <w:rPr>
          <w:rFonts w:ascii="方正仿宋简体" w:eastAsia="方正仿宋简体" w:hAnsi="方正仿宋简体" w:cs="方正仿宋简体" w:hint="eastAsia"/>
          <w:kern w:val="0"/>
          <w:sz w:val="32"/>
          <w:szCs w:val="32"/>
          <w:lang w:val="en-US" w:eastAsia="zh-CN" w:bidi="ar"/>
        </w:rPr>
        <w:t>（一）部门主要职责</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楚雄州广播电视无线传输发射总台是楚雄州广播电视局下属的财政全额拨款的事业单位，主要承担着中央广播电视节目、省级广播电视节目和楚雄州广播电视台的广播电视节目微波无线数字化覆盖任务（公益性无收费）。下辖一个中心机房和5个高山发射台：州广电中心12楼中心机房、楚雄市高顶寺广播电视发射台（海拔1950米）、楚雄市紫溪山广播电视发射台（海拔2500米）、禄丰五台山广播电视发射台（海拔2400米）、姚安张家山广播电视发射台（海拔2900米）、永仁方山广播电视发射台（海拔2400米）。5个高山发射台转播着中央的广播电视节目13套、云南省广播电视节目2套，州级广播电视节目4套，全州广播电视微波网线路总长543公里，全州光缆节目传输网190公里。通过多年来的建设发展实现了楚雄州电视台两套数字电视节目覆盖率60%，州广播电台两套广播节目覆盖率85%，为宣传彝州的经济建设和改革发展做出了积极的贡献。</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（二）机构设置情况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2021年度，纳入本部门决算汇编范围的独立核算单位共1个，按单位基本性质分属于事业单位，按单位预算级次分属于一级预算单位，财政全额拨款。</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（三）重点工作概述</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1.楚雄州广播电视无线传输发射总台全面加强技术维护工作，中央无线覆盖、省级无线覆盖和州级无线覆盖的广播电视节目质量不断提高，更新改造了台站的设备，完善了安全技术防范措施，从根本上扭转了安全播出的被动局面，强化了制度建设。认真贯彻国家广电总局62号令和高山无线发射台站实施管理办法，加强对各高山无线发射台站的设备维护，确保了广播电视无线覆盖节目的安全播出工作。加强对各高山无线发射台站的设备维护。</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2.认真贯彻执行总局62号令，特别是无线发射转播台实施细则。以继续实施好我台的三个发射台站“规范化、标准化、智慧化”美丽台站建设为契机，从技术上确保各个发射台的安全播出。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3.对广播电视无线传输发射台站的广播电视设备作定期维护检修，雷雨季节加强对高低压线路、铁塔及天馈系统进行检查维护，对卫星接收和光缆传输节目线路定期检查，及时发现问题进行处理。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4.在广电总局、省广电局和州广电局的安全播出和业务技术的监督和指导下，按照规定和要求完成日常播出工作和重要保障期的安全播出。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二、预算单位基本情况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我部门编制2021年部门预算单位共1个。其中：财政全额供给单位1个；财政全额供给单位中事业单位1个。截止2020年12月统计，部门基本情况如下：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在职人员编制25人，其中：事业编制10人。在职实有10人，其中： 财政全额保障25人。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离退休人员5人，其中： 离休0人，退休5人。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车辆编制1辆，实有车辆1辆。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三、预算单位收入情况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（一）部门财务收入情况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2021年单位财务总收入301.69万元，其中：上级补助0.00万元，本级安排301.69万元（其中：公共财政预算301.69万元，政府性基金0.00万元，财政专户管理的教育收费0.00万元），自筹资金0.00万元（其中：事业单位经营收入0.00万元，事业收入0.00万元，其他收入0.00万元），结余结转资金0.00万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与上年对比增长0.8%，主要原因是增加了2.4万元非税收入。</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（二）财政拨款收入情况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2021年部门财政拨款收入301.69万元，其中:本年收入301.69万元，上年结转收入0元。本年收入中，一般公共预算财政拨款301.69万元（本级财力299.29万元，国有资源（资产）有偿使用成本补偿2.40万元），与上年对比增长0.8%，主要原因是增加了2.4万元非税收入。</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预算单位支出情况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2021年部门预算总支出301.69万元。财政拨款安排支出301.69万元，其中：基本支出213.27万元，与上年对比减少28.74%，主要原因2020年州级运行维护费列支在基本支出中，2021年作为项目支出列支；项目支出88.42万元，与上年对比增长100%，主要原因2020年州级运行维护费列支在基本支出中，2021年作为项目支出列支。</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eastAsia="zh-CN" w:bidi="ar"/>
        </w:rPr>
      </w:pPr>
      <w:r>
        <w:rPr>
          <w:rFonts w:ascii="方正仿宋简体" w:eastAsia="方正仿宋简体" w:hAnsi="方正仿宋简体" w:cs="方正仿宋简体" w:hint="eastAsia"/>
          <w:kern w:val="0"/>
          <w:sz w:val="32"/>
          <w:szCs w:val="32"/>
          <w:lang w:val="en-US" w:eastAsia="zh-CN" w:bidi="ar"/>
        </w:rPr>
        <w:t>财政拨款安排支出按功能科目分类情况，主要用于：2070807 传输发射:164.05万元,2070808 广播电视事务:2.40万元,2070899 其他广播电视支出:86.02万元,2080502 事业单位离退休:11.53万元,2080505 机关事业单位基本养老保险缴费支出:14.10万元,2101102 事业单位医疗:8.45万元,2101103 公务员医疗补助:4.56万元,2210201 住房公积金:10.58万元。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eastAsia="zh-CN" w:bidi="ar"/>
        </w:rPr>
      </w:pPr>
      <w:r>
        <w:rPr>
          <w:rFonts w:ascii="方正仿宋简体" w:eastAsia="方正仿宋简体" w:hAnsi="方正仿宋简体" w:cs="方正仿宋简体" w:hint="eastAsia"/>
          <w:kern w:val="0"/>
          <w:sz w:val="32"/>
          <w:szCs w:val="32"/>
          <w:lang w:val="en-US" w:eastAsia="zh-CN" w:bidi="ar"/>
        </w:rPr>
        <w:t>财政专户管理资金支出情况。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hint="eastAsia"/>
          <w:lang w:val="en-US"/>
        </w:rPr>
      </w:pPr>
      <w:r>
        <w:rPr>
          <w:rFonts w:ascii="方正仿宋简体" w:eastAsia="方正仿宋简体" w:hAnsi="方正仿宋简体" w:cs="方正仿宋简体" w:hint="eastAsia"/>
          <w:kern w:val="0"/>
          <w:sz w:val="32"/>
          <w:szCs w:val="32"/>
          <w:lang w:val="en-US" w:eastAsia="zh-CN" w:bidi="ar"/>
        </w:rPr>
        <w:t>本单位无财政专户管理的支出。</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州对下专项转移支付情况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我单位无州对下转移支付情况。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（一）与中央配套事项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功能科目分组，无。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b/>
          <w:bCs w:val="0"/>
          <w:kern w:val="0"/>
          <w:sz w:val="32"/>
          <w:szCs w:val="32"/>
          <w:lang w:val="en-US"/>
        </w:rPr>
      </w:pPr>
      <w:r>
        <w:rPr>
          <w:rFonts w:ascii="方正仿宋简体" w:eastAsia="方正仿宋简体" w:hAnsi="方正仿宋简体" w:cs="方正仿宋简体" w:hint="eastAsia"/>
          <w:b/>
          <w:bCs w:val="0"/>
          <w:kern w:val="0"/>
          <w:sz w:val="32"/>
          <w:szCs w:val="32"/>
          <w:lang w:val="en-US" w:eastAsia="zh-CN" w:bidi="ar"/>
        </w:rPr>
        <w:t>（二</w:t>
      </w:r>
      <w:r>
        <w:rPr>
          <w:rFonts w:ascii="方正仿宋简体" w:eastAsia="方正仿宋简体" w:hAnsi="方正仿宋简体" w:cs="方正仿宋简体" w:hint="eastAsia"/>
          <w:kern w:val="0"/>
          <w:sz w:val="32"/>
          <w:szCs w:val="32"/>
          <w:lang w:val="en-US" w:eastAsia="zh-CN" w:bidi="ar"/>
        </w:rPr>
        <w:t>）按既定政策标准测算补助事项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功能科目分组，无。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b/>
          <w:bCs w:val="0"/>
          <w:kern w:val="0"/>
          <w:sz w:val="32"/>
          <w:szCs w:val="32"/>
          <w:lang w:val="en-US"/>
        </w:rPr>
      </w:pPr>
      <w:r>
        <w:rPr>
          <w:rFonts w:ascii="方正仿宋简体" w:eastAsia="方正仿宋简体" w:hAnsi="方正仿宋简体" w:cs="方正仿宋简体" w:hint="eastAsia"/>
          <w:b/>
          <w:bCs w:val="0"/>
          <w:kern w:val="0"/>
          <w:sz w:val="32"/>
          <w:szCs w:val="32"/>
          <w:lang w:val="en-US" w:eastAsia="zh-CN" w:bidi="ar"/>
        </w:rPr>
        <w:t>（三</w:t>
      </w:r>
      <w:r>
        <w:rPr>
          <w:rFonts w:ascii="方正仿宋简体" w:eastAsia="方正仿宋简体" w:hAnsi="方正仿宋简体" w:cs="方正仿宋简体" w:hint="eastAsia"/>
          <w:kern w:val="0"/>
          <w:sz w:val="32"/>
          <w:szCs w:val="32"/>
          <w:lang w:val="en-US" w:eastAsia="zh-CN" w:bidi="ar"/>
        </w:rPr>
        <w:t>）经济社会事业发展事项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功能科目分组，无。</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六、政府采购预算情况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根据《中华人民共和国政府采购法》等文件规定，编制了政府采购预算，共涉及采购项目3个，采购预算资金0.60万元；根据《国务院办公厅关于政府向社会力量购买服务的指导意见》（国办发〔2013〕96号）等文件规定，编制了政府购买服务预算，共涉及政府购买服务事项0项，购买服务资金0.00万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七、部门“三公”经费增减变化情况及原因说明</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楚雄州广播电视无线传输发射总台2021年一般公共预算财政拨款“三公”经费预算合计3万元，较上年增加0万元，增长0%，具体变动情况如下：</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（一）因公出国（境）费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楚雄州广播电视无线传输发射总台2021年因公出国（境）费预算为0万元，较上年增加0万元，增长0%，共计安排因公出国（境）团组0个，因公出国（境）0人次。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我单位上年度以及今年度都无因公出国预算支出。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（二）公务接待费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楚雄州广播电视无线传输发射总台2021年公务接待费预算为0.5万元，较上年增加0万元，增长0%，国内公务接待批次为10次，共计接待50人次。</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无增减变化。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（三）公务用车购置及运行维护费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楚雄州广播电视无线传输发射总台2021年公务用车购置及运行维护费为2.5万元，较上年增加0万元，增长0%。其中：公务用车购置费0万元，较上年增加0万元，增长0%；公务用车运行维护费2.5万元，较上年增加0万元，增长0%。共计购置公务用车1辆，年末公务用车保有量为1辆。</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无增减变化。</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八、重点项目预算绩效目标情况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spacing w:val="14"/>
          <w:kern w:val="2"/>
          <w:sz w:val="32"/>
          <w:szCs w:val="32"/>
          <w:lang w:val="en-US" w:eastAsia="zh-CN" w:bidi="ar"/>
        </w:rPr>
      </w:pPr>
      <w:r>
        <w:rPr>
          <w:rFonts w:ascii="方正仿宋简体" w:eastAsia="方正仿宋简体" w:hAnsi="方正仿宋简体" w:cs="方正仿宋简体" w:hint="eastAsia"/>
          <w:spacing w:val="14"/>
          <w:kern w:val="2"/>
          <w:sz w:val="32"/>
          <w:szCs w:val="32"/>
          <w:lang w:val="en-US" w:eastAsia="zh-CN" w:bidi="ar"/>
        </w:rPr>
        <w:t>1.州级运行维护专项业务经费，主要绩效目标为确保我台各高山站点州级广播电视节目无线发射系统的安全、优质、高效播出，共计州级运行维护专项业务经费86.02万元；分为五个小专项：1.地面数字电视广播无线覆盖网运行维护费8.12万元；2.紫溪山、高顶寺发射台供电电源和自备应急电源配置运行维护专项经费1.4万元；3.全州调频广播覆盖网、电视无线发射网及广播电台新闻频率调频广播覆盖网运行经费50万元；4.音乐频率无线覆盖运行维护经费20万元；5.永仁方山、姚安张家山、禄丰五台山三个高山发射台供电电源和自备应急设备运行维护专项经费6.5万元。全年实现了州级广播电视节目无线发射设备的台内事故停播为零的好成绩，提高了州级广播电视节目的播出的安全性和可靠性，提升了节目播出的质量。</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spacing w:val="14"/>
          <w:kern w:val="2"/>
          <w:sz w:val="32"/>
          <w:szCs w:val="32"/>
          <w:lang w:val="en-US" w:eastAsia="zh-CN" w:bidi="ar"/>
        </w:rPr>
      </w:pPr>
      <w:r>
        <w:rPr>
          <w:rFonts w:ascii="方正仿宋简体" w:eastAsia="方正仿宋简体" w:hAnsi="方正仿宋简体" w:cs="方正仿宋简体" w:hint="eastAsia"/>
          <w:spacing w:val="14"/>
          <w:kern w:val="2"/>
          <w:sz w:val="32"/>
          <w:szCs w:val="32"/>
          <w:lang w:val="en-US" w:eastAsia="zh-CN" w:bidi="ar"/>
        </w:rPr>
        <w:t>2.  楚雄州广播电视无线传输发射总台非税收入经费，主要绩效目标为完成好非税收入征收，安排好非税收入返还经费的支出，共计2.4万元，用于弥补公用经费不足。保障单位正常运行维护，实现安全播出正常，全年无事故。</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黑体简体" w:eastAsia="方正黑体简体" w:hAnsi="方正黑体简体" w:cs="方正黑体简体" w:hint="eastAsia"/>
          <w:kern w:val="0"/>
          <w:sz w:val="32"/>
          <w:szCs w:val="32"/>
          <w:lang w:val="en-US"/>
        </w:rPr>
      </w:pPr>
      <w:r>
        <w:rPr>
          <w:rFonts w:ascii="方正黑体简体" w:eastAsia="方正黑体简体" w:hAnsi="方正黑体简体" w:cs="方正黑体简体" w:hint="eastAsia"/>
          <w:kern w:val="0"/>
          <w:sz w:val="32"/>
          <w:szCs w:val="32"/>
          <w:lang w:val="en-US" w:eastAsia="zh-CN" w:bidi="ar"/>
        </w:rPr>
        <w:t>九、其他公开信息</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（一）专业名词解释</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1.商品和服务支出：反映单位购买商品和服务的支出，不包括用于购置固定资产的支出、战略性和应急储备支出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2.对个人和家庭的补助：反映政府用于对个人和家庭的补助支出，主要是指离休费、退休费、抚恤金、救济金、医疗费补助、生活补助等方面的支出。</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3.“三公”经费：是指财政拨款开支的因公出国（境）费、公务用车购置及运行费和公务接待费。</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（二）机关运行经费安排变化情况及原因说明</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eastAsia="zh-CN" w:bidi="ar"/>
        </w:rPr>
      </w:pPr>
      <w:r>
        <w:rPr>
          <w:rFonts w:ascii="方正仿宋简体" w:eastAsia="方正仿宋简体" w:hAnsi="方正仿宋简体" w:cs="方正仿宋简体" w:hint="eastAsia"/>
          <w:kern w:val="0"/>
          <w:sz w:val="32"/>
          <w:szCs w:val="32"/>
          <w:lang w:val="en-US" w:eastAsia="zh-CN" w:bidi="ar"/>
        </w:rPr>
        <w:t>楚雄州广播电视无线传输发射总台为公益一类事业单位，无机关运行经费；2021年部门预算公用经费11.7万元，其中：在编在职8.9万元，退休人员公用经费0.3万元，公务用车运行维护费2.5万元。2020年部门预算公用经费12.7万元，其中：在编在职9.9万元，退休人员公用经费0.3万元；公务用车运行维护费2.5万元。2021年与2020年的部门预算相比公用经费降幅为7.87%，减少的主要原因是2021年的预算内人均公用经费减少为1万元。</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40" w:rightChars="0" w:firstLineChars="20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（三）国有资产占有使用情况</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firstLine="600" w:rightChars="0"/>
        <w:jc w:val="both"/>
        <w:textAlignment w:val="auto"/>
        <w:outlineLvl w:val="9"/>
        <w:rPr>
          <w:rFonts w:ascii="方正仿宋简体" w:eastAsia="方正仿宋简体" w:hAnsi="方正仿宋简体" w:cs="方正仿宋简体" w:hint="eastAsia"/>
          <w:kern w:val="0"/>
          <w:sz w:val="32"/>
          <w:szCs w:val="32"/>
          <w:lang w:val="en-US"/>
        </w:rPr>
      </w:pPr>
      <w:r>
        <w:rPr>
          <w:rFonts w:ascii="方正仿宋简体" w:eastAsia="方正仿宋简体" w:hAnsi="方正仿宋简体" w:cs="方正仿宋简体" w:hint="eastAsia"/>
          <w:kern w:val="0"/>
          <w:sz w:val="32"/>
          <w:szCs w:val="32"/>
          <w:lang w:val="en-US" w:eastAsia="zh-CN" w:bidi="ar"/>
        </w:rPr>
        <w:t>鉴于截至2020年12月31日的国有资产占有使用情况，需在完成2020年决算编制后才能汇总相关数据，因此，将在公开2020年度部门决算时一并公开。</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right="0" w:rightChars="0"/>
        <w:jc w:val="both"/>
        <w:textAlignment w:val="auto"/>
        <w:outlineLvl w:val="9"/>
        <w:rPr>
          <w:rFonts w:ascii="仿宋_GB2312" w:eastAsia="仿宋_GB2312" w:hAnsi="仿宋_GB2312" w:cs="仿宋_GB2312" w:hint="eastAsia"/>
          <w:sz w:val="32"/>
          <w:szCs w:val="32"/>
          <w:lang w:val="en-US"/>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6349" w:right="0" w:hanging="1280" w:leftChars="2414" w:rightChars="0" w:hangingChars="400"/>
        <w:jc w:val="both"/>
        <w:textAlignment w:val="auto"/>
        <w:outlineLvl w:val="9"/>
        <w:rPr>
          <w:rFonts w:ascii="方正仿宋简体" w:eastAsia="方正仿宋简体" w:hAnsi="方正仿宋简体" w:cs="方正仿宋简体" w:hint="eastAsia"/>
          <w:kern w:val="2"/>
          <w:sz w:val="32"/>
          <w:szCs w:val="32"/>
          <w:lang w:val="en-US" w:eastAsia="zh-CN" w:bidi="ar"/>
        </w:rPr>
        <w:sectPr>
          <w:headerReference w:type="default" r:id="rId5"/>
          <w:footerReference w:type="default" r:id="rId6"/>
          <w:pgSz w:w="11906" w:h="16838"/>
          <w:pgMar w:top="1702" w:right="1417" w:bottom="1702" w:left="1417" w:header="1" w:footer="1757" w:gutter="0"/>
          <w:cols w:num="1" w:space="425"/>
          <w:docGrid w:type="linesAndChars" w:linePitch="285" w:charSpace="-4301"/>
        </w:sectPr>
      </w:pPr>
      <w:r>
        <w:rPr>
          <w:rFonts w:ascii="方正仿宋简体" w:eastAsia="方正仿宋简体" w:hAnsi="方正仿宋简体" w:cs="方正仿宋简体" w:hint="eastAsia"/>
          <w:kern w:val="2"/>
          <w:sz w:val="32"/>
          <w:szCs w:val="32"/>
          <w:lang w:val="en-US" w:eastAsia="zh-CN" w:bidi="ar"/>
        </w:rPr>
        <w:t>楚雄州广播电视无线传输发射总台                                          2021年3月9日</w:t>
      </w:r>
    </w:p>
    <w:p>
      <w:pPr>
        <w:keepNext w:val="0"/>
        <w:keepLines w:val="0"/>
        <w:pageBreakBefore w:val="0"/>
        <w:kinsoku/>
        <w:wordWrap/>
        <w:overflowPunct/>
        <w:topLinePunct w:val="0"/>
        <w:autoSpaceDE/>
        <w:autoSpaceDN/>
        <w:bidi w:val="0"/>
        <w:adjustRightInd/>
        <w:snapToGrid w:val="0"/>
        <w:spacing w:after="0" w:line="560" w:lineRule="exact"/>
        <w:ind w:left="0" w:right="0" w:leftChars="0" w:rightChars="0"/>
        <w:jc w:val="center"/>
        <w:textAlignment w:val="auto"/>
        <w:outlineLvl w:val="9"/>
        <w:rPr>
          <w:rFonts w:ascii="方正小标宋简体" w:eastAsia="方正小标宋简体" w:hAnsi="华文中宋"/>
          <w:spacing w:val="14"/>
          <w:sz w:val="44"/>
          <w:szCs w:val="44"/>
        </w:rPr>
      </w:pPr>
      <w:r>
        <w:rPr>
          <w:rFonts w:ascii="方正小标宋简体" w:eastAsia="方正小标宋简体" w:hint="eastAsia"/>
          <w:sz w:val="44"/>
          <w:szCs w:val="44"/>
          <w:lang w:eastAsia="zh-CN"/>
        </w:rPr>
        <w:t>楚雄州广播电视无线传输发射总台</w:t>
      </w:r>
      <w:r>
        <w:rPr>
          <w:rFonts w:ascii="方正小标宋简体" w:eastAsia="方正小标宋简体" w:hint="eastAsia"/>
          <w:sz w:val="44"/>
          <w:szCs w:val="44"/>
          <w:lang w:val="en-US" w:eastAsia="zh-CN"/>
        </w:rPr>
        <w:t>2021</w:t>
      </w:r>
      <w:r>
        <w:rPr>
          <w:rFonts w:ascii="方正小标宋简体" w:eastAsia="方正小标宋简体" w:hint="eastAsia"/>
          <w:sz w:val="44"/>
          <w:szCs w:val="44"/>
        </w:rPr>
        <w:t>年</w:t>
      </w:r>
      <w:r>
        <w:rPr>
          <w:rFonts w:ascii="方正小标宋简体" w:eastAsia="方正小标宋简体" w:hAnsi="华文中宋" w:hint="eastAsia"/>
          <w:spacing w:val="14"/>
          <w:sz w:val="44"/>
          <w:szCs w:val="44"/>
        </w:rPr>
        <w:t>预算重点领域财政项目</w:t>
      </w:r>
    </w:p>
    <w:p>
      <w:pPr>
        <w:keepNext w:val="0"/>
        <w:keepLines w:val="0"/>
        <w:pageBreakBefore w:val="0"/>
        <w:kinsoku/>
        <w:wordWrap/>
        <w:overflowPunct/>
        <w:topLinePunct w:val="0"/>
        <w:autoSpaceDE/>
        <w:autoSpaceDN/>
        <w:bidi w:val="0"/>
        <w:adjustRightInd/>
        <w:snapToGrid w:val="0"/>
        <w:spacing w:after="0" w:line="560" w:lineRule="exact"/>
        <w:ind w:left="0" w:right="0" w:leftChars="0" w:rightChars="0"/>
        <w:jc w:val="center"/>
        <w:textAlignment w:val="auto"/>
        <w:outlineLvl w:val="9"/>
        <w:rPr>
          <w:rFonts w:ascii="方正小标宋简体" w:eastAsia="方正小标宋简体" w:hAnsi="华文中宋"/>
          <w:spacing w:val="14"/>
          <w:sz w:val="44"/>
          <w:szCs w:val="44"/>
        </w:rPr>
      </w:pPr>
      <w:r>
        <w:rPr>
          <w:rFonts w:ascii="方正小标宋简体" w:eastAsia="方正小标宋简体" w:hAnsi="华文中宋" w:hint="eastAsia"/>
          <w:spacing w:val="14"/>
          <w:sz w:val="44"/>
          <w:szCs w:val="44"/>
        </w:rPr>
        <w:t>文本公开</w:t>
      </w:r>
    </w:p>
    <w:p>
      <w:pPr>
        <w:keepNext w:val="0"/>
        <w:keepLines w:val="0"/>
        <w:pageBreakBefore w:val="0"/>
        <w:kinsoku/>
        <w:wordWrap/>
        <w:overflowPunct/>
        <w:topLinePunct w:val="0"/>
        <w:autoSpaceDE/>
        <w:autoSpaceDN/>
        <w:bidi w:val="0"/>
        <w:adjustRightInd/>
        <w:snapToGrid w:val="0"/>
        <w:spacing w:after="0" w:line="560" w:lineRule="exact"/>
        <w:ind w:left="0" w:right="0" w:leftChars="0" w:rightChars="0"/>
        <w:jc w:val="center"/>
        <w:textAlignment w:val="auto"/>
        <w:outlineLvl w:val="9"/>
        <w:rPr>
          <w:rFonts w:ascii="方正小标宋简体" w:eastAsia="方正小标宋简体" w:hAnsi="华文中宋"/>
          <w:spacing w:val="14"/>
          <w:sz w:val="30"/>
          <w:szCs w:val="30"/>
        </w:rPr>
      </w:pP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项目名称</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eastAsia="仿宋_GB2312"/>
          <w:kern w:val="0"/>
          <w:sz w:val="32"/>
          <w:szCs w:val="32"/>
        </w:rPr>
      </w:pPr>
      <w:r>
        <w:rPr>
          <w:rFonts w:ascii="方正仿宋简体" w:eastAsia="方正仿宋简体" w:hAnsi="方正仿宋简体" w:cs="方正仿宋简体" w:hint="eastAsia"/>
          <w:kern w:val="0"/>
          <w:sz w:val="32"/>
          <w:szCs w:val="32"/>
        </w:rPr>
        <w:t>州级运行维护专项业务经费</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立项依据</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国家广播电影电视总局令第62号，《广播电视广告播出管理办法》经国家广播电影电视总局2009年12月4日局务会议审议通过，自2010年2月6日起施行。为了加强广播电视安全播出管理， 保障广播电视信号安全优质播出， 维护用户收听收看广播电视的权益， 保障安全播出开展的技术维护、运行管理、应急处置及其他相关活动。</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按照州人民政府广播影视行政部门批准的节目、传输方式、 覆盖范围以及相关技术参数播出、传输、发射广播电视信号，保障广播电视节目播出、传输过程中的节目完整、信号安全和技术安</w:t>
      </w:r>
      <w:bookmarkStart w:id="0" w:name="_GoBack"/>
      <w:bookmarkEnd w:id="0"/>
      <w:r>
        <w:rPr>
          <w:rFonts w:ascii="方正仿宋简体" w:eastAsia="方正仿宋简体" w:hAnsi="方正仿宋简体" w:cs="方正仿宋简体" w:hint="eastAsia"/>
          <w:kern w:val="0"/>
          <w:sz w:val="32"/>
          <w:szCs w:val="32"/>
        </w:rPr>
        <w:t>全。</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项目实施单位</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eastAsia="仿宋_GB2312"/>
          <w:kern w:val="0"/>
          <w:sz w:val="32"/>
          <w:szCs w:val="32"/>
        </w:rPr>
      </w:pPr>
      <w:r>
        <w:rPr>
          <w:rFonts w:ascii="方正仿宋简体" w:eastAsia="方正仿宋简体" w:hAnsi="方正仿宋简体" w:cs="方正仿宋简体" w:hint="eastAsia"/>
          <w:kern w:val="0"/>
          <w:sz w:val="32"/>
          <w:szCs w:val="32"/>
          <w:lang w:eastAsia="zh-CN"/>
        </w:rPr>
        <w:t>楚雄州广播电视无线传输发射总台</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项目基本概况</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lang w:eastAsia="zh-CN"/>
        </w:rPr>
        <w:t>项目实施主要是为楚雄州广播电视无线传输发射总台</w:t>
      </w:r>
      <w:r>
        <w:rPr>
          <w:rFonts w:ascii="方正仿宋简体" w:eastAsia="方正仿宋简体" w:hAnsi="方正仿宋简体" w:cs="方正仿宋简体" w:hint="eastAsia"/>
          <w:kern w:val="0"/>
          <w:sz w:val="32"/>
          <w:szCs w:val="32"/>
          <w:lang w:val="en-US" w:eastAsia="zh-CN"/>
        </w:rPr>
        <w:t>1个中心机房、5个高山发射台以及6个补点台站州级广播电视节目的正常播出做好日常的运行维护，保障州级广播电视节目的安全播出。</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项目实施内容</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确保州级广播电视节目4套，全州广播电视微波网线路总长543公里，全州光缆节目传输网190公里的正常运5个高山发射台转播着中央的广播电视节目</w:t>
      </w:r>
      <w:r>
        <w:rPr>
          <w:rFonts w:ascii="方正仿宋简体" w:eastAsia="方正仿宋简体" w:hAnsi="方正仿宋简体" w:cs="方正仿宋简体" w:hint="eastAsia"/>
          <w:kern w:val="0"/>
          <w:sz w:val="32"/>
          <w:szCs w:val="32"/>
          <w:lang w:val="en-US" w:eastAsia="zh-CN"/>
        </w:rPr>
        <w:t>13</w:t>
      </w:r>
      <w:r>
        <w:rPr>
          <w:rFonts w:ascii="方正仿宋简体" w:eastAsia="方正仿宋简体" w:hAnsi="方正仿宋简体" w:cs="方正仿宋简体" w:hint="eastAsia"/>
          <w:kern w:val="0"/>
          <w:sz w:val="32"/>
          <w:szCs w:val="32"/>
        </w:rPr>
        <w:t>套、云南省广播电视节目2套，州级广播电视节目4套，全州广播电视微波网线路总长543公里，全州光缆节目传输网190公里</w:t>
      </w:r>
      <w:r>
        <w:rPr>
          <w:rFonts w:ascii="方正仿宋简体" w:eastAsia="方正仿宋简体" w:hAnsi="方正仿宋简体" w:cs="方正仿宋简体" w:hint="eastAsia"/>
          <w:kern w:val="0"/>
          <w:sz w:val="32"/>
          <w:szCs w:val="32"/>
          <w:lang w:eastAsia="zh-CN"/>
        </w:rPr>
        <w:t>，</w:t>
      </w:r>
      <w:r>
        <w:rPr>
          <w:rFonts w:ascii="方正仿宋简体" w:eastAsia="方正仿宋简体" w:hAnsi="方正仿宋简体" w:cs="方正仿宋简体" w:hint="eastAsia"/>
          <w:kern w:val="0"/>
          <w:sz w:val="32"/>
          <w:szCs w:val="32"/>
        </w:rPr>
        <w:t>共计州级运行维护专项业务经费86.02万元</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资金安排情况</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州级运行维护专项业务经费86.02万元；分为五个小专项：1.地面数字电视广播无线覆盖网运行维护费8.12万元；2.紫溪山、高顶寺发射台供电电源和自备应急电源配置运行维护专项经费1.4万元；3.全州调频广播覆盖网、电视无线发射网及广播电台新闻频率调频广播覆盖网运行经费50万元；4.音乐频率无线覆盖运行维护经费20万元；5.永仁方山、姚安张家山、禄丰五台山三个高山发射台供电电源和自备应急设备运行维护专项经费6.5万元。</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项目实施计划</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确保</w:t>
      </w:r>
      <w:r>
        <w:rPr>
          <w:rFonts w:ascii="方正仿宋简体" w:eastAsia="方正仿宋简体" w:hAnsi="方正仿宋简体" w:cs="方正仿宋简体" w:hint="eastAsia"/>
          <w:kern w:val="0"/>
          <w:sz w:val="32"/>
          <w:szCs w:val="32"/>
          <w:lang w:eastAsia="zh-CN"/>
        </w:rPr>
        <w:t>好</w:t>
      </w:r>
      <w:r>
        <w:rPr>
          <w:rFonts w:ascii="方正仿宋简体" w:eastAsia="方正仿宋简体" w:hAnsi="方正仿宋简体" w:cs="方正仿宋简体" w:hint="eastAsia"/>
          <w:kern w:val="0"/>
          <w:sz w:val="32"/>
          <w:szCs w:val="32"/>
          <w:lang w:val="en-US" w:eastAsia="zh-CN"/>
        </w:rPr>
        <w:t>2021年</w:t>
      </w:r>
      <w:r>
        <w:rPr>
          <w:rFonts w:ascii="方正仿宋简体" w:eastAsia="方正仿宋简体" w:hAnsi="方正仿宋简体" w:cs="方正仿宋简体" w:hint="eastAsia"/>
          <w:kern w:val="0"/>
          <w:sz w:val="32"/>
          <w:szCs w:val="32"/>
        </w:rPr>
        <w:t>州级广播电视节目4套，全州广播电视微波网线路总长543公里，全州光缆节目传输网190公里的正常运</w:t>
      </w:r>
      <w:r>
        <w:rPr>
          <w:rFonts w:ascii="方正仿宋简体" w:eastAsia="方正仿宋简体" w:hAnsi="方正仿宋简体" w:cs="方正仿宋简体" w:hint="eastAsia"/>
          <w:kern w:val="0"/>
          <w:sz w:val="32"/>
          <w:szCs w:val="32"/>
          <w:lang w:eastAsia="zh-CN"/>
        </w:rPr>
        <w:t>行，承担好</w:t>
      </w:r>
      <w:r>
        <w:rPr>
          <w:rFonts w:ascii="方正仿宋简体" w:eastAsia="方正仿宋简体" w:hAnsi="方正仿宋简体" w:cs="方正仿宋简体" w:hint="eastAsia"/>
          <w:kern w:val="0"/>
          <w:sz w:val="32"/>
          <w:szCs w:val="32"/>
        </w:rPr>
        <w:t>5个高山发射台转播中央的广播电视节目</w:t>
      </w:r>
      <w:r>
        <w:rPr>
          <w:rFonts w:ascii="方正仿宋简体" w:eastAsia="方正仿宋简体" w:hAnsi="方正仿宋简体" w:cs="方正仿宋简体" w:hint="eastAsia"/>
          <w:kern w:val="0"/>
          <w:sz w:val="32"/>
          <w:szCs w:val="32"/>
          <w:lang w:val="en-US" w:eastAsia="zh-CN"/>
        </w:rPr>
        <w:t>13</w:t>
      </w:r>
      <w:r>
        <w:rPr>
          <w:rFonts w:ascii="方正仿宋简体" w:eastAsia="方正仿宋简体" w:hAnsi="方正仿宋简体" w:cs="方正仿宋简体" w:hint="eastAsia"/>
          <w:kern w:val="0"/>
          <w:sz w:val="32"/>
          <w:szCs w:val="32"/>
        </w:rPr>
        <w:t>套、云南省广播电视节目2套，州级广播电视节目4套，全州广播电视微波网线路总长543公里，全州光缆节目传输网190公里</w:t>
      </w:r>
      <w:r>
        <w:rPr>
          <w:rFonts w:ascii="方正仿宋简体" w:eastAsia="方正仿宋简体" w:hAnsi="方正仿宋简体" w:cs="方正仿宋简体" w:hint="eastAsia"/>
          <w:kern w:val="0"/>
          <w:sz w:val="32"/>
          <w:szCs w:val="32"/>
          <w:lang w:eastAsia="zh-CN"/>
        </w:rPr>
        <w:t>的主要任务，做好日常维护，做好每个站点的年检、季检、月检、周检工作，确保</w:t>
      </w:r>
      <w:r>
        <w:rPr>
          <w:rFonts w:ascii="方正仿宋简体" w:eastAsia="方正仿宋简体" w:hAnsi="方正仿宋简体" w:cs="方正仿宋简体" w:hint="eastAsia"/>
          <w:kern w:val="0"/>
          <w:sz w:val="32"/>
          <w:szCs w:val="32"/>
          <w:lang w:val="en-US" w:eastAsia="zh-CN"/>
        </w:rPr>
        <w:t>2021年全州广播电视安全播零事故。</w:t>
      </w:r>
    </w:p>
    <w:p>
      <w:pPr>
        <w:keepNext w:val="0"/>
        <w:keepLines w:val="0"/>
        <w:pageBreakBefore w:val="0"/>
        <w:widowControl/>
        <w:numPr>
          <w:ilvl w:val="0"/>
          <w:numId w:val="3"/>
        </w:numPr>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黑体简体" w:eastAsia="方正黑体简体" w:hAnsi="方正黑体简体" w:cs="方正黑体简体" w:hint="eastAsia"/>
          <w:kern w:val="0"/>
          <w:sz w:val="32"/>
          <w:szCs w:val="32"/>
        </w:rPr>
      </w:pPr>
      <w:r>
        <w:rPr>
          <w:rFonts w:ascii="方正黑体简体" w:eastAsia="方正黑体简体" w:hAnsi="方正黑体简体" w:cs="方正黑体简体" w:hint="eastAsia"/>
          <w:kern w:val="0"/>
          <w:sz w:val="32"/>
          <w:szCs w:val="32"/>
        </w:rPr>
        <w:t>项目实施成效</w:t>
      </w:r>
    </w:p>
    <w:p>
      <w:pPr>
        <w:keepNext w:val="0"/>
        <w:keepLines w:val="0"/>
        <w:pageBreakBefore w:val="0"/>
        <w:widowControl/>
        <w:kinsoku/>
        <w:wordWrap/>
        <w:overflowPunct/>
        <w:topLinePunct w:val="0"/>
        <w:autoSpaceDE/>
        <w:autoSpaceDN/>
        <w:bidi w:val="0"/>
        <w:adjustRightInd/>
        <w:spacing w:after="0" w:line="560" w:lineRule="exact"/>
        <w:ind w:left="0" w:right="0" w:firstLine="640" w:leftChars="0" w:rightChars="0" w:firstLineChars="200"/>
        <w:jc w:val="both"/>
        <w:textAlignment w:val="auto"/>
        <w:outlineLvl w:val="9"/>
        <w:rPr>
          <w:rFonts w:ascii="方正仿宋简体" w:eastAsia="方正仿宋简体" w:hAnsi="方正仿宋简体" w:cs="方正仿宋简体" w:hint="eastAsia"/>
          <w:kern w:val="0"/>
          <w:sz w:val="32"/>
          <w:szCs w:val="32"/>
        </w:rPr>
      </w:pPr>
      <w:r>
        <w:rPr>
          <w:rFonts w:ascii="方正仿宋简体" w:eastAsia="方正仿宋简体" w:hAnsi="方正仿宋简体" w:cs="方正仿宋简体" w:hint="eastAsia"/>
          <w:kern w:val="0"/>
          <w:sz w:val="32"/>
          <w:szCs w:val="32"/>
        </w:rPr>
        <w:t>通过多年来的建设发展实现了楚雄州电视台两套数字电视节目覆盖率60%，州广播电台两套广播节目覆盖率85%，为宣传彝州的经济建设和改革发展做出了积极的贡献。为确保我台各高山站点州级广播电视节目无线发射系统的安全、优质、高效播出，实现州级广播电视节目无线发射设备的台内事故停播为零的好成绩，提高了州级广播电视节目的播出的安全性和可靠性，提升了节目播出的质量。</w:t>
      </w:r>
    </w:p>
    <w:p>
      <w:pPr>
        <w:keepNext w:val="0"/>
        <w:keepLines w:val="0"/>
        <w:pageBreakBefore w:val="0"/>
        <w:kinsoku/>
        <w:wordWrap/>
        <w:overflowPunct/>
        <w:topLinePunct w:val="0"/>
        <w:autoSpaceDE/>
        <w:autoSpaceDN/>
        <w:bidi w:val="0"/>
        <w:adjustRightInd/>
        <w:spacing w:after="0" w:line="560" w:lineRule="exact"/>
        <w:ind w:left="0" w:right="0" w:leftChars="0" w:rightChars="0"/>
        <w:jc w:val="both"/>
        <w:textAlignment w:val="auto"/>
        <w:outlineLvl w:val="9"/>
        <w:rPr>
          <w:sz w:val="32"/>
          <w:szCs w:val="32"/>
        </w:rPr>
      </w:pPr>
    </w:p>
    <w:p>
      <w:pPr>
        <w:rPr>
          <w:rFonts w:ascii="Arial" w:eastAsia="Arial" w:hAnsi="Arial" w:cs="Arial"/>
          <w:b/>
          <w:sz w:val="36"/>
        </w:rPr>
      </w:pPr>
    </w:p>
    <w:p>
      <w:pPr>
        <w:rPr>
          <w:rFonts w:ascii="Arial" w:eastAsia="Arial" w:hAnsi="Arial" w:cs="Arial"/>
          <w:b/>
          <w:sz w:val="36"/>
        </w:rPr>
      </w:pPr>
    </w:p>
    <w:p>
      <w:pPr>
        <w:rPr>
          <w:rFonts w:ascii="Arial" w:eastAsia="Arial" w:hAnsi="Arial" w:cs="Arial"/>
          <w:b/>
          <w:sz w:val="36"/>
        </w:rPr>
      </w:pPr>
      <w:r>
        <w:rPr>
          <w:rFonts w:ascii="Arial" w:eastAsia="Arial" w:hAnsi="Arial" w:cs="Arial"/>
          <w:b/>
          <w:sz w:val="36"/>
        </w:rPr>
        <w:t>监督索引号53230000274500111</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楷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outside" w:y="1"/>
      <w:ind w:left="420" w:right="420" w:leftChars="200" w:rightChars="200"/>
      <w:rPr>
        <w:rStyle w:val="PageNumber"/>
        <w:sz w:val="28"/>
        <w:szCs w:val="28"/>
      </w:rPr>
    </w:pPr>
    <w:r>
      <w:rPr>
        <w:rStyle w:val="PageNumber"/>
        <w:rFonts w:hint="eastAsia"/>
        <w:sz w:val="28"/>
        <w:szCs w:val="28"/>
      </w:rPr>
      <w:t>-</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sz w:val="28"/>
        <w:szCs w:val="28"/>
      </w:rPr>
      <w:t>15</w:t>
    </w:r>
    <w:r>
      <w:rPr>
        <w:rStyle w:val="PageNumber"/>
        <w:sz w:val="28"/>
        <w:szCs w:val="28"/>
      </w:rPr>
      <w:fldChar w:fldCharType="end"/>
    </w:r>
    <w:r>
      <w:rPr>
        <w:rStyle w:val="PageNumber"/>
        <w:rFonts w:hint="eastAsia"/>
        <w:sz w:val="28"/>
        <w:szCs w:val="28"/>
      </w:rPr>
      <w:t>-</w:t>
    </w:r>
  </w:p>
  <w:p>
    <w:pPr>
      <w:pStyle w:val="Footer"/>
      <w:ind w:right="360" w:firstLine="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0474999"/>
    <w:multiLevelType w:val="multilevel"/>
    <w:tmpl w:val="60474999"/>
    <w:lvl w:ilvl="0">
      <w:start w:val="4"/>
      <w:numFmt w:val="chineseCounting"/>
      <w:suff w:val="nothing"/>
      <w:lvlText w:val="%1、"/>
      <w:lvlJc w:val="left"/>
      <w:pPr>
        <w:ind w:left="0" w:firstLine="0"/>
      </w:pPr>
    </w:lvl>
    <w:lvl w:ilvl="1">
      <w:start w:val="1"/>
      <w:numFmt w:val="decimal"/>
      <w:lvlText w:val="%2."/>
      <w:lvlJc w:val="left"/>
      <w:pPr>
        <w:tabs>
          <w:tab w:val="left" w:pos="1440"/>
        </w:tabs>
        <w:ind w:left="1440" w:firstLine="65176"/>
      </w:pPr>
    </w:lvl>
    <w:lvl w:ilvl="2">
      <w:start w:val="1"/>
      <w:numFmt w:val="decimal"/>
      <w:lvlText w:val="%3."/>
      <w:lvlJc w:val="left"/>
      <w:pPr>
        <w:tabs>
          <w:tab w:val="left" w:pos="2160"/>
        </w:tabs>
        <w:ind w:left="2160" w:firstLine="65176"/>
      </w:pPr>
    </w:lvl>
    <w:lvl w:ilvl="3">
      <w:start w:val="1"/>
      <w:numFmt w:val="decimal"/>
      <w:lvlText w:val="%4."/>
      <w:lvlJc w:val="left"/>
      <w:pPr>
        <w:tabs>
          <w:tab w:val="left" w:pos="2880"/>
        </w:tabs>
        <w:ind w:left="2880" w:firstLine="65176"/>
      </w:pPr>
    </w:lvl>
    <w:lvl w:ilvl="4">
      <w:start w:val="1"/>
      <w:numFmt w:val="decimal"/>
      <w:lvlText w:val="%5."/>
      <w:lvlJc w:val="left"/>
      <w:pPr>
        <w:tabs>
          <w:tab w:val="left" w:pos="3600"/>
        </w:tabs>
        <w:ind w:left="3600" w:firstLine="65176"/>
      </w:pPr>
    </w:lvl>
    <w:lvl w:ilvl="5">
      <w:start w:val="1"/>
      <w:numFmt w:val="decimal"/>
      <w:lvlText w:val="%6."/>
      <w:lvlJc w:val="left"/>
      <w:pPr>
        <w:tabs>
          <w:tab w:val="left" w:pos="4320"/>
        </w:tabs>
        <w:ind w:left="4320" w:firstLine="65176"/>
      </w:pPr>
    </w:lvl>
    <w:lvl w:ilvl="6">
      <w:start w:val="1"/>
      <w:numFmt w:val="decimal"/>
      <w:lvlText w:val="%7."/>
      <w:lvlJc w:val="left"/>
      <w:pPr>
        <w:tabs>
          <w:tab w:val="left" w:pos="5040"/>
        </w:tabs>
        <w:ind w:left="5040" w:firstLine="65176"/>
      </w:pPr>
    </w:lvl>
    <w:lvl w:ilvl="7">
      <w:start w:val="1"/>
      <w:numFmt w:val="decimal"/>
      <w:lvlText w:val="%8."/>
      <w:lvlJc w:val="left"/>
      <w:pPr>
        <w:tabs>
          <w:tab w:val="left" w:pos="5760"/>
        </w:tabs>
        <w:ind w:left="5760" w:firstLine="65176"/>
      </w:pPr>
    </w:lvl>
    <w:lvl w:ilvl="8">
      <w:start w:val="1"/>
      <w:numFmt w:val="decimal"/>
      <w:lvlText w:val="%9."/>
      <w:lvlJc w:val="left"/>
      <w:pPr>
        <w:tabs>
          <w:tab w:val="left" w:pos="6480"/>
        </w:tabs>
        <w:ind w:left="6480" w:firstLine="65176"/>
      </w:pPr>
    </w:lvl>
  </w:abstractNum>
  <w:abstractNum w:abstractNumId="1">
    <w:nsid w:val="604749A4"/>
    <w:multiLevelType w:val="multilevel"/>
    <w:tmpl w:val="604749A4"/>
    <w:lvl w:ilvl="0">
      <w:start w:val="5"/>
      <w:numFmt w:val="chineseCounting"/>
      <w:suff w:val="nothing"/>
      <w:lvlText w:val="%1、"/>
      <w:lvlJc w:val="left"/>
      <w:pPr>
        <w:ind w:left="0" w:firstLine="0"/>
      </w:pPr>
    </w:lvl>
    <w:lvl w:ilvl="1">
      <w:start w:val="1"/>
      <w:numFmt w:val="decimal"/>
      <w:lvlText w:val="%2."/>
      <w:lvlJc w:val="left"/>
      <w:pPr>
        <w:tabs>
          <w:tab w:val="left" w:pos="1440"/>
        </w:tabs>
        <w:ind w:left="1440" w:firstLine="65176"/>
      </w:pPr>
    </w:lvl>
    <w:lvl w:ilvl="2">
      <w:start w:val="1"/>
      <w:numFmt w:val="decimal"/>
      <w:lvlText w:val="%3."/>
      <w:lvlJc w:val="left"/>
      <w:pPr>
        <w:tabs>
          <w:tab w:val="left" w:pos="2160"/>
        </w:tabs>
        <w:ind w:left="2160" w:firstLine="65176"/>
      </w:pPr>
    </w:lvl>
    <w:lvl w:ilvl="3">
      <w:start w:val="1"/>
      <w:numFmt w:val="decimal"/>
      <w:lvlText w:val="%4."/>
      <w:lvlJc w:val="left"/>
      <w:pPr>
        <w:tabs>
          <w:tab w:val="left" w:pos="2880"/>
        </w:tabs>
        <w:ind w:left="2880" w:firstLine="65176"/>
      </w:pPr>
    </w:lvl>
    <w:lvl w:ilvl="4">
      <w:start w:val="1"/>
      <w:numFmt w:val="decimal"/>
      <w:lvlText w:val="%5."/>
      <w:lvlJc w:val="left"/>
      <w:pPr>
        <w:tabs>
          <w:tab w:val="left" w:pos="3600"/>
        </w:tabs>
        <w:ind w:left="3600" w:firstLine="65176"/>
      </w:pPr>
    </w:lvl>
    <w:lvl w:ilvl="5">
      <w:start w:val="1"/>
      <w:numFmt w:val="decimal"/>
      <w:lvlText w:val="%6."/>
      <w:lvlJc w:val="left"/>
      <w:pPr>
        <w:tabs>
          <w:tab w:val="left" w:pos="4320"/>
        </w:tabs>
        <w:ind w:left="4320" w:firstLine="65176"/>
      </w:pPr>
    </w:lvl>
    <w:lvl w:ilvl="6">
      <w:start w:val="1"/>
      <w:numFmt w:val="decimal"/>
      <w:lvlText w:val="%7."/>
      <w:lvlJc w:val="left"/>
      <w:pPr>
        <w:tabs>
          <w:tab w:val="left" w:pos="5040"/>
        </w:tabs>
        <w:ind w:left="5040" w:firstLine="65176"/>
      </w:pPr>
    </w:lvl>
    <w:lvl w:ilvl="7">
      <w:start w:val="1"/>
      <w:numFmt w:val="decimal"/>
      <w:lvlText w:val="%8."/>
      <w:lvlJc w:val="left"/>
      <w:pPr>
        <w:tabs>
          <w:tab w:val="left" w:pos="5760"/>
        </w:tabs>
        <w:ind w:left="5760" w:firstLine="65176"/>
      </w:pPr>
    </w:lvl>
    <w:lvl w:ilvl="8">
      <w:start w:val="1"/>
      <w:numFmt w:val="decimal"/>
      <w:lvlText w:val="%9."/>
      <w:lvlJc w:val="left"/>
      <w:pPr>
        <w:tabs>
          <w:tab w:val="left" w:pos="6480"/>
        </w:tabs>
        <w:ind w:left="6480" w:firstLine="65176"/>
      </w:pPr>
    </w:lvl>
  </w:abstractNum>
  <w:abstractNum w:abstractNumId="2">
    <w:nsid w:val="650CB686"/>
    <w:multiLevelType w:val="singleLevel"/>
    <w:tmpl w:val="650CB686"/>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3F0DA0"/>
    <w:rsid w:val="01254FDF"/>
    <w:rsid w:val="03E735A3"/>
    <w:rsid w:val="1A976DAB"/>
    <w:rsid w:val="1C3F0DA0"/>
    <w:rsid w:val="21006D57"/>
    <w:rsid w:val="3A1F6118"/>
    <w:rsid w:val="4EB42B0F"/>
    <w:rsid w:val="5A3659A3"/>
    <w:rsid w:val="5BAC2AA8"/>
    <w:rsid w:val="67A11A09"/>
    <w:rsid w:val="68B725C9"/>
    <w:rsid w:val="6E1330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BodyText"/>
    <w:qFormat/>
    <w:pPr>
      <w:widowControl w:val="0"/>
      <w:spacing w:after="200" w:line="276" w:lineRule="auto"/>
      <w:jc w:val="both"/>
    </w:pPr>
    <w:rPr>
      <w:rFonts w:asciiTheme="minorHAnsi" w:eastAsiaTheme="minorEastAsia" w:hAnsiTheme="minorHAnsi" w:cstheme="minorBidi"/>
      <w:kern w:val="2"/>
      <w:sz w:val="21"/>
      <w:szCs w:val="24"/>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BodyText">
    <w:name w:val="Body Text"/>
    <w:basedOn w:val="Normal"/>
    <w:link w:val="Char"/>
    <w:qFormat/>
    <w:pPr>
      <w:jc w:val="center"/>
    </w:pPr>
    <w:rPr>
      <w:sz w:val="52"/>
    </w:rPr>
  </w:style>
  <w:style w:type="paragraph" w:styleId="Footer">
    <w:name w:val="footer"/>
    <w:basedOn w:val="Normal"/>
    <w:link w:val="Char0"/>
    <w:qFormat/>
    <w:pPr>
      <w:tabs>
        <w:tab w:val="center" w:pos="4153"/>
        <w:tab w:val="right" w:pos="8306"/>
      </w:tabs>
      <w:snapToGrid w:val="0"/>
      <w:jc w:val="left"/>
    </w:pPr>
    <w:rPr>
      <w:sz w:val="18"/>
      <w:szCs w:val="18"/>
    </w:rPr>
  </w:style>
  <w:style w:type="paragraph" w:styleId="Header">
    <w:name w:val="header"/>
    <w:basedOn w:val="Normal"/>
    <w:link w:val="Char1"/>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rPr>
      <w:sz w:val="24"/>
    </w:rPr>
  </w:style>
  <w:style w:type="character" w:styleId="PageNumber">
    <w:name w:val="page number"/>
    <w:basedOn w:val="DefaultParagraphFont"/>
    <w:qFormat/>
  </w:style>
  <w:style w:type="character" w:customStyle="1" w:styleId="Char">
    <w:name w:val="正文文本 Char"/>
    <w:basedOn w:val="DefaultParagraphFont"/>
    <w:link w:val="BodyText"/>
    <w:qFormat/>
    <w:rPr>
      <w:kern w:val="2"/>
      <w:sz w:val="21"/>
      <w:szCs w:val="24"/>
    </w:rPr>
  </w:style>
  <w:style w:type="character" w:customStyle="1" w:styleId="Char0">
    <w:name w:val="页脚 Char"/>
    <w:basedOn w:val="DefaultParagraphFont"/>
    <w:link w:val="Footer"/>
    <w:qFormat/>
    <w:rPr>
      <w:kern w:val="2"/>
      <w:sz w:val="18"/>
      <w:szCs w:val="18"/>
    </w:rPr>
  </w:style>
  <w:style w:type="character" w:customStyle="1" w:styleId="Char1">
    <w:name w:val="页眉 Char"/>
    <w:basedOn w:val="DefaultParagraphFont"/>
    <w:link w:val="Heade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楚雄佳合信息工程有限公司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佳合公司</dc:creator>
  <cp:lastModifiedBy>佳合公司</cp:lastModifiedBy>
  <cp:revision>1</cp:revision>
  <cp:lastPrinted>2021-03-10T06:59:00Z</cp:lastPrinted>
  <dcterms:created xsi:type="dcterms:W3CDTF">2021-03-05T03:14:00Z</dcterms:created>
  <dcterms:modified xsi:type="dcterms:W3CDTF">2021-03-18T02:28:08Z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