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eastAsia="zh-CN"/>
        </w:rPr>
        <w:t>楚财整合〔</w:t>
      </w:r>
      <w:r>
        <w:rPr>
          <w:rFonts w:hint="eastAsia" w:ascii="Times New Roman" w:hAnsi="Times New Roman" w:eastAsia="方正仿宋简体" w:cs="方正仿宋简体"/>
          <w:sz w:val="32"/>
          <w:szCs w:val="32"/>
          <w:lang w:val="en-US" w:eastAsia="zh-CN"/>
        </w:rPr>
        <w:t>2019〕35号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eastAsia="zh-CN"/>
        </w:rPr>
        <w:t>楚雄州财政局关于提前下达贫困县</w:t>
      </w:r>
      <w:r>
        <w:rPr>
          <w:rFonts w:hint="eastAsia" w:ascii="Times New Roman" w:hAnsi="Times New Roman" w:eastAsia="方正小标宋简体" w:cs="方正小标宋简体"/>
          <w:sz w:val="44"/>
          <w:szCs w:val="44"/>
          <w:lang w:val="en-US" w:eastAsia="zh-CN"/>
        </w:rPr>
        <w:t>2020年第七批中央统筹整合涉农资金的通知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各相关县财政局：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简体"/>
          <w:sz w:val="32"/>
          <w:szCs w:val="32"/>
          <w:lang w:val="en-US" w:eastAsia="zh-CN"/>
        </w:rPr>
      </w:pPr>
      <w:r>
        <w:rPr>
          <w:rFonts w:hint="eastAsia" w:ascii="Times New Roman" w:hAnsi="Times New Roman" w:eastAsia="方正仿宋简体" w:cs="方正仿宋简体"/>
          <w:sz w:val="32"/>
          <w:szCs w:val="32"/>
          <w:lang w:val="en-US" w:eastAsia="zh-CN"/>
        </w:rPr>
        <w:t>根据《云南省财政厅关于提前下达贫困县2020年第七批中央统筹整合涉农资金的通知》（云财整合〔2019〕39号），现将2020年中央财政农村危房改造补助资金预算13346.92万元提前下达给你们（详见附表）。此款列入2020年政府收支分类科目相应预算支出功能科目，</w:t>
      </w:r>
      <w:r>
        <w:rPr>
          <w:rFonts w:hint="eastAsia" w:ascii="Times New Roman" w:hAnsi="Times New Roman" w:eastAsia="方正仿宋简体"/>
          <w:sz w:val="32"/>
          <w:szCs w:val="32"/>
          <w:lang w:eastAsia="zh-CN"/>
        </w:rPr>
        <w:t>政府预算支出经济分类科目列“</w:t>
      </w:r>
      <w:r>
        <w:rPr>
          <w:rFonts w:hint="eastAsia" w:ascii="Times New Roman" w:hAnsi="Times New Roman" w:eastAsia="方正仿宋简体"/>
          <w:sz w:val="32"/>
          <w:szCs w:val="32"/>
          <w:lang w:val="en-US" w:eastAsia="zh-CN"/>
        </w:rPr>
        <w:t>513</w:t>
      </w:r>
      <w:r>
        <w:rPr>
          <w:rFonts w:hint="eastAsia" w:ascii="Times New Roman" w:hAnsi="Times New Roman" w:eastAsia="方正仿宋简体" w:cs="方正仿宋简体"/>
          <w:sz w:val="32"/>
          <w:szCs w:val="32"/>
          <w:lang w:val="en-US" w:eastAsia="zh-CN"/>
        </w:rPr>
        <w:t>·</w:t>
      </w:r>
      <w:r>
        <w:rPr>
          <w:rFonts w:hint="eastAsia" w:ascii="Times New Roman" w:hAnsi="Times New Roman" w:eastAsia="方正仿宋简体"/>
          <w:sz w:val="32"/>
          <w:szCs w:val="32"/>
          <w:lang w:val="en-US" w:eastAsia="zh-CN"/>
        </w:rPr>
        <w:t>转移性支出</w:t>
      </w:r>
      <w:r>
        <w:rPr>
          <w:rFonts w:hint="eastAsia" w:ascii="Times New Roman" w:hAnsi="Times New Roman" w:eastAsia="方正仿宋简体"/>
          <w:sz w:val="32"/>
          <w:szCs w:val="32"/>
          <w:lang w:eastAsia="zh-CN"/>
        </w:rPr>
        <w:t>”</w:t>
      </w:r>
      <w:r>
        <w:rPr>
          <w:rFonts w:ascii="Times New Roman" w:hAnsi="Times New Roman" w:eastAsia="方正仿宋简体"/>
          <w:sz w:val="32"/>
          <w:szCs w:val="32"/>
        </w:rPr>
        <w:t>。</w:t>
      </w:r>
      <w:r>
        <w:rPr>
          <w:rFonts w:hint="eastAsia" w:ascii="Times New Roman" w:hAnsi="Times New Roman" w:eastAsia="方正仿宋简体"/>
          <w:sz w:val="32"/>
          <w:szCs w:val="32"/>
          <w:lang w:eastAsia="zh-CN"/>
        </w:rPr>
        <w:t>上述指标待</w:t>
      </w:r>
      <w:r>
        <w:rPr>
          <w:rFonts w:hint="eastAsia" w:ascii="Times New Roman" w:hAnsi="Times New Roman" w:eastAsia="方正仿宋简体"/>
          <w:sz w:val="32"/>
          <w:szCs w:val="32"/>
          <w:lang w:val="en-US" w:eastAsia="zh-CN"/>
        </w:rPr>
        <w:t>2020年预算年度开始后，按程序拨付使用资金。同时，提出以下要求，请一并贯彻落实。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Times New Roman" w:hAnsi="Times New Roman" w:eastAsia="方正仿宋简体"/>
          <w:sz w:val="32"/>
          <w:szCs w:val="32"/>
          <w:lang w:eastAsia="zh-CN"/>
        </w:rPr>
      </w:pPr>
      <w:r>
        <w:rPr>
          <w:rFonts w:hint="eastAsia" w:ascii="Times New Roman" w:hAnsi="Times New Roman" w:eastAsia="方正仿宋简体"/>
          <w:sz w:val="32"/>
          <w:szCs w:val="32"/>
          <w:lang w:eastAsia="zh-CN"/>
        </w:rPr>
        <w:t>一、资金下达到县后，各县详细记录指标来源，根据县级统筹整合资金使用方案安排预算，将调整后的预算下达给实际使用单位，按实际用途列相应支出科目。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t>二、精准使用涉农资金，各县要坚持现行脱贫标准，统筹整合涉农资金在农业生产发展和农村基础设施建设范围内安排支出。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t>三、贫困县要根据2020年度统筹整合使用财政涉农资金实施方案，及时将资金安排落实到具体项目，按照贫困县统筹整合使用财政涉农资金管理办法，加强资金和项目管理，加快涉农资金支出进度，避免资金闲置、浪费，提高资金使用效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598" w:leftChars="304" w:right="0" w:rightChars="0" w:hanging="960" w:hangingChars="300"/>
        <w:jc w:val="both"/>
        <w:textAlignment w:val="auto"/>
        <w:outlineLvl w:val="9"/>
        <w:rPr>
          <w:rFonts w:hint="default"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t>附件：提前下达2020年第七批中央统筹整合涉农资金下达表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firstLine="5440" w:firstLineChars="1700"/>
        <w:jc w:val="both"/>
        <w:textAlignment w:val="auto"/>
        <w:outlineLvl w:val="9"/>
        <w:rPr>
          <w:rFonts w:hint="eastAsia"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t>楚雄州财政局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760" w:firstLineChars="1800"/>
        <w:jc w:val="both"/>
        <w:textAlignment w:val="auto"/>
        <w:outlineLvl w:val="9"/>
        <w:rPr>
          <w:rFonts w:hint="eastAsia"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t>2019年12月20日</w:t>
      </w: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pBdr>
          <w:top w:val="single" w:color="auto" w:sz="4"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600" w:lineRule="exact"/>
        <w:ind w:left="0" w:leftChars="0" w:right="0" w:rightChars="0" w:firstLine="300" w:firstLineChars="100"/>
        <w:jc w:val="both"/>
        <w:textAlignment w:val="auto"/>
        <w:outlineLvl w:val="9"/>
        <w:rPr>
          <w:rFonts w:hint="eastAsia" w:ascii="Times New Roman" w:hAnsi="Times New Roman" w:eastAsia="方正仿宋简体"/>
          <w:sz w:val="30"/>
          <w:szCs w:val="30"/>
          <w:lang w:val="en-US" w:eastAsia="zh-CN"/>
        </w:rPr>
      </w:pPr>
      <w:r>
        <w:rPr>
          <w:rFonts w:hint="eastAsia" w:ascii="Times New Roman" w:hAnsi="Times New Roman" w:eastAsia="方正仿宋简体"/>
          <w:sz w:val="30"/>
          <w:szCs w:val="30"/>
          <w:lang w:val="en-US" w:eastAsia="zh-CN"/>
        </w:rPr>
        <w:t>抄送：州住建局，州扶贫办，本局预算科、国库科、社保科。</w:t>
      </w:r>
    </w:p>
    <w:p>
      <w:pPr>
        <w:keepNext w:val="0"/>
        <w:keepLines w:val="0"/>
        <w:pageBreakBefore w:val="0"/>
        <w:widowControl w:val="0"/>
        <w:numPr>
          <w:ilvl w:val="0"/>
          <w:numId w:val="0"/>
        </w:numPr>
        <w:pBdr>
          <w:top w:val="single" w:color="auto" w:sz="4" w:space="1"/>
          <w:left w:val="none" w:color="auto" w:sz="0" w:space="4"/>
          <w:bottom w:val="single" w:color="auto" w:sz="4" w:space="1"/>
          <w:right w:val="none" w:color="auto" w:sz="0" w:space="4"/>
          <w:between w:val="none" w:color="auto" w:sz="0" w:space="0"/>
        </w:pBdr>
        <w:kinsoku/>
        <w:wordWrap/>
        <w:overflowPunct/>
        <w:topLinePunct w:val="0"/>
        <w:autoSpaceDE/>
        <w:autoSpaceDN/>
        <w:bidi w:val="0"/>
        <w:adjustRightInd/>
        <w:snapToGrid/>
        <w:spacing w:line="600" w:lineRule="exact"/>
        <w:ind w:left="0" w:leftChars="0" w:right="0" w:rightChars="0" w:firstLine="300" w:firstLineChars="100"/>
        <w:jc w:val="both"/>
        <w:textAlignment w:val="auto"/>
        <w:outlineLvl w:val="9"/>
        <w:rPr>
          <w:rFonts w:hint="default" w:ascii="Times New Roman" w:hAnsi="Times New Roman" w:eastAsia="黑体" w:cs="Times New Roman"/>
          <w:sz w:val="28"/>
          <w:szCs w:val="28"/>
          <w:lang w:val="en-US" w:eastAsia="zh-CN"/>
        </w:rPr>
      </w:pPr>
      <w:r>
        <w:rPr>
          <w:rFonts w:hint="eastAsia" w:ascii="Times New Roman" w:hAnsi="Times New Roman" w:eastAsia="方正仿宋简体"/>
          <w:sz w:val="30"/>
          <w:szCs w:val="30"/>
          <w:lang w:val="en-US" w:eastAsia="zh-CN"/>
        </w:rPr>
        <w:t>楚雄州财政局办公室                2019年12月20日印发</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提前下达2020年第七批中央统筹整合涉农资金下达表</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00" w:lineRule="exact"/>
        <w:ind w:right="0" w:rightChars="0"/>
        <w:jc w:val="right"/>
        <w:textAlignment w:val="auto"/>
        <w:outlineLvl w:val="9"/>
        <w:rPr>
          <w:rFonts w:hint="eastAsia" w:ascii="方正仿宋简体" w:hAnsi="方正仿宋简体" w:eastAsia="方正仿宋简体" w:cs="方正仿宋简体"/>
          <w:sz w:val="32"/>
          <w:szCs w:val="32"/>
          <w:lang w:val="en-US" w:eastAsia="zh-CN"/>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00" w:lineRule="exact"/>
        <w:ind w:right="0" w:rightChars="0"/>
        <w:jc w:val="center"/>
        <w:textAlignment w:val="auto"/>
        <w:outlineLvl w:val="9"/>
        <w:rPr>
          <w:rFonts w:hint="eastAsia" w:ascii="方正小标宋简体" w:hAnsi="方正小标宋简体" w:eastAsia="方正小标宋简体" w:cs="方正小标宋简体"/>
          <w:sz w:val="32"/>
          <w:szCs w:val="32"/>
          <w:lang w:val="en-US" w:eastAsia="zh-CN"/>
        </w:rPr>
      </w:pPr>
      <w:r>
        <w:rPr>
          <w:rFonts w:hint="eastAsia" w:ascii="方正仿宋简体" w:hAnsi="方正仿宋简体" w:eastAsia="方正仿宋简体" w:cs="方正仿宋简体"/>
          <w:sz w:val="32"/>
          <w:szCs w:val="32"/>
          <w:lang w:val="en-US" w:eastAsia="zh-CN"/>
        </w:rPr>
        <w:t xml:space="preserve">                                         单位：万元</w:t>
      </w:r>
    </w:p>
    <w:tbl>
      <w:tblPr>
        <w:tblStyle w:val="6"/>
        <w:tblW w:w="78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1"/>
        <w:gridCol w:w="1590"/>
        <w:gridCol w:w="3120"/>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150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b/>
                <w:bCs/>
                <w:sz w:val="30"/>
                <w:szCs w:val="30"/>
                <w:vertAlign w:val="baseline"/>
                <w:lang w:val="en-US" w:eastAsia="zh-CN"/>
              </w:rPr>
            </w:pPr>
            <w:r>
              <w:rPr>
                <w:rFonts w:hint="default" w:ascii="Times New Roman" w:hAnsi="Times New Roman" w:eastAsia="方正仿宋简体" w:cs="Times New Roman"/>
                <w:b/>
                <w:bCs/>
                <w:sz w:val="30"/>
                <w:szCs w:val="30"/>
                <w:vertAlign w:val="baseline"/>
                <w:lang w:val="en-US" w:eastAsia="zh-CN"/>
              </w:rPr>
              <w:t>县市</w:t>
            </w:r>
          </w:p>
        </w:tc>
        <w:tc>
          <w:tcPr>
            <w:tcW w:w="1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b/>
                <w:bCs/>
                <w:sz w:val="30"/>
                <w:szCs w:val="30"/>
                <w:vertAlign w:val="baseline"/>
                <w:lang w:val="en-US" w:eastAsia="zh-CN"/>
              </w:rPr>
            </w:pPr>
            <w:r>
              <w:rPr>
                <w:rFonts w:hint="default" w:ascii="Times New Roman" w:hAnsi="Times New Roman" w:eastAsia="方正仿宋简体" w:cs="Times New Roman"/>
                <w:b/>
                <w:bCs/>
                <w:sz w:val="30"/>
                <w:szCs w:val="30"/>
                <w:vertAlign w:val="baseline"/>
                <w:lang w:val="en-US" w:eastAsia="zh-CN"/>
              </w:rPr>
              <w:t>合计</w:t>
            </w:r>
          </w:p>
        </w:tc>
        <w:tc>
          <w:tcPr>
            <w:tcW w:w="31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b/>
                <w:bCs/>
                <w:sz w:val="30"/>
                <w:szCs w:val="30"/>
                <w:vertAlign w:val="baseline"/>
                <w:lang w:val="en-US" w:eastAsia="zh-CN"/>
              </w:rPr>
            </w:pPr>
            <w:r>
              <w:rPr>
                <w:rFonts w:hint="eastAsia" w:ascii="Times New Roman" w:hAnsi="Times New Roman" w:eastAsia="方正仿宋简体" w:cs="Times New Roman"/>
                <w:b/>
                <w:bCs/>
                <w:sz w:val="30"/>
                <w:szCs w:val="30"/>
                <w:vertAlign w:val="baseline"/>
                <w:lang w:val="en-US" w:eastAsia="zh-CN"/>
              </w:rPr>
              <w:t>2020年中央财政农村危房改造补助资金（211</w:t>
            </w:r>
            <w:r>
              <w:rPr>
                <w:rFonts w:hint="eastAsia" w:ascii="仿宋_GB2312" w:hAnsi="仿宋_GB2312" w:eastAsia="仿宋_GB2312" w:cs="仿宋_GB2312"/>
                <w:b/>
                <w:bCs/>
                <w:sz w:val="30"/>
                <w:szCs w:val="30"/>
                <w:vertAlign w:val="baseline"/>
                <w:lang w:val="en-US" w:eastAsia="zh-CN"/>
              </w:rPr>
              <w:t>·住房保</w:t>
            </w:r>
            <w:bookmarkStart w:id="0" w:name="_GoBack"/>
            <w:bookmarkEnd w:id="0"/>
            <w:r>
              <w:rPr>
                <w:rFonts w:hint="eastAsia" w:ascii="仿宋_GB2312" w:hAnsi="仿宋_GB2312" w:eastAsia="仿宋_GB2312" w:cs="仿宋_GB2312"/>
                <w:b/>
                <w:bCs/>
                <w:sz w:val="30"/>
                <w:szCs w:val="30"/>
                <w:vertAlign w:val="baseline"/>
                <w:lang w:val="en-US" w:eastAsia="zh-CN"/>
              </w:rPr>
              <w:t>障支出</w:t>
            </w:r>
            <w:r>
              <w:rPr>
                <w:rFonts w:hint="eastAsia" w:ascii="Times New Roman" w:hAnsi="Times New Roman" w:eastAsia="方正仿宋简体" w:cs="Times New Roman"/>
                <w:b/>
                <w:bCs/>
                <w:sz w:val="30"/>
                <w:szCs w:val="30"/>
                <w:vertAlign w:val="baseline"/>
                <w:lang w:val="en-US" w:eastAsia="zh-CN"/>
              </w:rPr>
              <w:t>）</w:t>
            </w:r>
          </w:p>
        </w:tc>
        <w:tc>
          <w:tcPr>
            <w:tcW w:w="16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b/>
                <w:bCs/>
                <w:sz w:val="30"/>
                <w:szCs w:val="30"/>
                <w:vertAlign w:val="baseline"/>
                <w:lang w:val="en-US" w:eastAsia="zh-CN"/>
              </w:rPr>
            </w:pPr>
            <w:r>
              <w:rPr>
                <w:rFonts w:hint="default" w:ascii="Times New Roman" w:hAnsi="Times New Roman" w:eastAsia="方正仿宋简体" w:cs="Times New Roman"/>
                <w:b/>
                <w:bCs/>
                <w:sz w:val="30"/>
                <w:szCs w:val="30"/>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双柏县</w:t>
            </w:r>
          </w:p>
        </w:tc>
        <w:tc>
          <w:tcPr>
            <w:tcW w:w="1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r>
              <w:rPr>
                <w:rFonts w:hint="eastAsia" w:ascii="Times New Roman" w:hAnsi="Times New Roman" w:eastAsia="方正仿宋简体" w:cs="Times New Roman"/>
                <w:sz w:val="32"/>
                <w:szCs w:val="32"/>
                <w:vertAlign w:val="baseline"/>
                <w:lang w:val="en-US" w:eastAsia="zh-CN"/>
              </w:rPr>
              <w:t>2861.1</w:t>
            </w:r>
          </w:p>
        </w:tc>
        <w:tc>
          <w:tcPr>
            <w:tcW w:w="31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r>
              <w:rPr>
                <w:rFonts w:hint="eastAsia" w:ascii="Times New Roman" w:hAnsi="Times New Roman" w:eastAsia="方正仿宋简体" w:cs="Times New Roman"/>
                <w:sz w:val="32"/>
                <w:szCs w:val="32"/>
                <w:vertAlign w:val="baseline"/>
                <w:lang w:val="en-US" w:eastAsia="zh-CN"/>
              </w:rPr>
              <w:t>2861.1</w:t>
            </w:r>
          </w:p>
        </w:tc>
        <w:tc>
          <w:tcPr>
            <w:tcW w:w="16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牟定县</w:t>
            </w:r>
          </w:p>
        </w:tc>
        <w:tc>
          <w:tcPr>
            <w:tcW w:w="1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cs="Times New Roman"/>
                <w:sz w:val="32"/>
                <w:szCs w:val="32"/>
                <w:vertAlign w:val="baseline"/>
                <w:lang w:val="en-US" w:eastAsia="zh-CN"/>
              </w:rPr>
            </w:pPr>
            <w:r>
              <w:rPr>
                <w:rFonts w:hint="eastAsia" w:ascii="Times New Roman" w:hAnsi="Times New Roman" w:eastAsia="方正仿宋简体" w:cs="Times New Roman"/>
                <w:sz w:val="32"/>
                <w:szCs w:val="32"/>
                <w:vertAlign w:val="baseline"/>
                <w:lang w:val="en-US" w:eastAsia="zh-CN"/>
              </w:rPr>
              <w:t>97.35</w:t>
            </w:r>
          </w:p>
        </w:tc>
        <w:tc>
          <w:tcPr>
            <w:tcW w:w="31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r>
              <w:rPr>
                <w:rFonts w:hint="eastAsia" w:ascii="Times New Roman" w:hAnsi="Times New Roman" w:eastAsia="方正仿宋简体" w:cs="Times New Roman"/>
                <w:sz w:val="32"/>
                <w:szCs w:val="32"/>
                <w:vertAlign w:val="baseline"/>
                <w:lang w:val="en-US" w:eastAsia="zh-CN"/>
              </w:rPr>
              <w:t>97.35</w:t>
            </w:r>
          </w:p>
        </w:tc>
        <w:tc>
          <w:tcPr>
            <w:tcW w:w="16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南华县</w:t>
            </w:r>
          </w:p>
        </w:tc>
        <w:tc>
          <w:tcPr>
            <w:tcW w:w="1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r>
              <w:rPr>
                <w:rFonts w:hint="eastAsia" w:ascii="Times New Roman" w:hAnsi="Times New Roman" w:eastAsia="方正仿宋简体" w:cs="Times New Roman"/>
                <w:sz w:val="32"/>
                <w:szCs w:val="32"/>
                <w:vertAlign w:val="baseline"/>
                <w:lang w:val="en-US" w:eastAsia="zh-CN"/>
              </w:rPr>
              <w:t>1073.7</w:t>
            </w:r>
          </w:p>
        </w:tc>
        <w:tc>
          <w:tcPr>
            <w:tcW w:w="31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r>
              <w:rPr>
                <w:rFonts w:hint="eastAsia" w:ascii="Times New Roman" w:hAnsi="Times New Roman" w:eastAsia="方正仿宋简体" w:cs="Times New Roman"/>
                <w:sz w:val="32"/>
                <w:szCs w:val="32"/>
                <w:vertAlign w:val="baseline"/>
                <w:lang w:val="en-US" w:eastAsia="zh-CN"/>
              </w:rPr>
              <w:t>1073.7</w:t>
            </w:r>
          </w:p>
        </w:tc>
        <w:tc>
          <w:tcPr>
            <w:tcW w:w="16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姚安县</w:t>
            </w:r>
          </w:p>
        </w:tc>
        <w:tc>
          <w:tcPr>
            <w:tcW w:w="1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cs="Times New Roman"/>
                <w:sz w:val="32"/>
                <w:szCs w:val="32"/>
                <w:vertAlign w:val="baseline"/>
                <w:lang w:val="en-US" w:eastAsia="zh-CN"/>
              </w:rPr>
            </w:pPr>
            <w:r>
              <w:rPr>
                <w:rFonts w:hint="eastAsia" w:ascii="Times New Roman" w:hAnsi="Times New Roman" w:eastAsia="方正仿宋简体" w:cs="Times New Roman"/>
                <w:sz w:val="32"/>
                <w:szCs w:val="32"/>
                <w:vertAlign w:val="baseline"/>
                <w:lang w:val="en-US" w:eastAsia="zh-CN"/>
              </w:rPr>
              <w:t>528</w:t>
            </w:r>
          </w:p>
        </w:tc>
        <w:tc>
          <w:tcPr>
            <w:tcW w:w="31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r>
              <w:rPr>
                <w:rFonts w:hint="eastAsia" w:ascii="Times New Roman" w:hAnsi="Times New Roman" w:eastAsia="方正仿宋简体" w:cs="Times New Roman"/>
                <w:sz w:val="32"/>
                <w:szCs w:val="32"/>
                <w:vertAlign w:val="baseline"/>
                <w:lang w:val="en-US" w:eastAsia="zh-CN"/>
              </w:rPr>
              <w:t>528</w:t>
            </w:r>
          </w:p>
        </w:tc>
        <w:tc>
          <w:tcPr>
            <w:tcW w:w="16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大姚县</w:t>
            </w:r>
          </w:p>
        </w:tc>
        <w:tc>
          <w:tcPr>
            <w:tcW w:w="1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cs="Times New Roman"/>
                <w:sz w:val="32"/>
                <w:szCs w:val="32"/>
                <w:vertAlign w:val="baseline"/>
                <w:lang w:val="en-US" w:eastAsia="zh-CN"/>
              </w:rPr>
            </w:pPr>
            <w:r>
              <w:rPr>
                <w:rFonts w:hint="eastAsia" w:ascii="Times New Roman" w:hAnsi="Times New Roman" w:eastAsia="方正仿宋简体" w:cs="Times New Roman"/>
                <w:sz w:val="32"/>
                <w:szCs w:val="32"/>
                <w:vertAlign w:val="baseline"/>
                <w:lang w:val="en-US" w:eastAsia="zh-CN"/>
              </w:rPr>
              <w:t>2204.4</w:t>
            </w:r>
          </w:p>
        </w:tc>
        <w:tc>
          <w:tcPr>
            <w:tcW w:w="31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r>
              <w:rPr>
                <w:rFonts w:hint="eastAsia" w:ascii="Times New Roman" w:hAnsi="Times New Roman" w:eastAsia="方正仿宋简体" w:cs="Times New Roman"/>
                <w:sz w:val="32"/>
                <w:szCs w:val="32"/>
                <w:vertAlign w:val="baseline"/>
                <w:lang w:val="en-US" w:eastAsia="zh-CN"/>
              </w:rPr>
              <w:t>2204.4</w:t>
            </w:r>
          </w:p>
        </w:tc>
        <w:tc>
          <w:tcPr>
            <w:tcW w:w="16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方正仿宋简体" w:hAnsi="方正仿宋简体" w:eastAsia="方正仿宋简体" w:cs="方正仿宋简体"/>
                <w:b w:val="0"/>
                <w:bCs w:val="0"/>
                <w:sz w:val="32"/>
                <w:szCs w:val="32"/>
                <w:vertAlign w:val="baseline"/>
                <w:lang w:val="en-US" w:eastAsia="zh-CN"/>
              </w:rPr>
            </w:pPr>
            <w:r>
              <w:rPr>
                <w:rFonts w:hint="eastAsia" w:ascii="方正仿宋简体" w:hAnsi="方正仿宋简体" w:eastAsia="方正仿宋简体" w:cs="方正仿宋简体"/>
                <w:b w:val="0"/>
                <w:bCs w:val="0"/>
                <w:sz w:val="32"/>
                <w:szCs w:val="32"/>
                <w:vertAlign w:val="baseline"/>
                <w:lang w:val="en-US" w:eastAsia="zh-CN"/>
              </w:rPr>
              <w:t>永仁县</w:t>
            </w:r>
          </w:p>
        </w:tc>
        <w:tc>
          <w:tcPr>
            <w:tcW w:w="1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cs="Times New Roman"/>
                <w:b w:val="0"/>
                <w:bCs w:val="0"/>
                <w:sz w:val="32"/>
                <w:szCs w:val="32"/>
                <w:vertAlign w:val="baseline"/>
                <w:lang w:val="en-US" w:eastAsia="zh-CN"/>
              </w:rPr>
            </w:pPr>
            <w:r>
              <w:rPr>
                <w:rFonts w:hint="eastAsia" w:ascii="Times New Roman" w:hAnsi="Times New Roman" w:eastAsia="方正仿宋简体" w:cs="Times New Roman"/>
                <w:b w:val="0"/>
                <w:bCs w:val="0"/>
                <w:sz w:val="32"/>
                <w:szCs w:val="32"/>
                <w:vertAlign w:val="baseline"/>
                <w:lang w:val="en-US" w:eastAsia="zh-CN"/>
              </w:rPr>
              <w:t>2978.37</w:t>
            </w:r>
          </w:p>
        </w:tc>
        <w:tc>
          <w:tcPr>
            <w:tcW w:w="31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b w:val="0"/>
                <w:bCs w:val="0"/>
                <w:sz w:val="32"/>
                <w:szCs w:val="32"/>
                <w:vertAlign w:val="baseline"/>
                <w:lang w:val="en-US" w:eastAsia="zh-CN"/>
              </w:rPr>
            </w:pPr>
            <w:r>
              <w:rPr>
                <w:rFonts w:hint="eastAsia" w:ascii="Times New Roman" w:hAnsi="Times New Roman" w:eastAsia="方正仿宋简体" w:cs="Times New Roman"/>
                <w:b w:val="0"/>
                <w:bCs w:val="0"/>
                <w:sz w:val="32"/>
                <w:szCs w:val="32"/>
                <w:vertAlign w:val="baseline"/>
                <w:lang w:val="en-US" w:eastAsia="zh-CN"/>
              </w:rPr>
              <w:t>2978.37</w:t>
            </w:r>
          </w:p>
        </w:tc>
        <w:tc>
          <w:tcPr>
            <w:tcW w:w="16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方正仿宋简体" w:hAnsi="方正仿宋简体" w:eastAsia="方正仿宋简体" w:cs="方正仿宋简体"/>
                <w:b w:val="0"/>
                <w:bCs w:val="0"/>
                <w:sz w:val="32"/>
                <w:szCs w:val="32"/>
                <w:vertAlign w:val="baseline"/>
                <w:lang w:val="en-US" w:eastAsia="zh-CN"/>
              </w:rPr>
            </w:pPr>
            <w:r>
              <w:rPr>
                <w:rFonts w:hint="eastAsia" w:ascii="方正仿宋简体" w:hAnsi="方正仿宋简体" w:eastAsia="方正仿宋简体" w:cs="方正仿宋简体"/>
                <w:b w:val="0"/>
                <w:bCs w:val="0"/>
                <w:sz w:val="32"/>
                <w:szCs w:val="32"/>
                <w:vertAlign w:val="baseline"/>
                <w:lang w:val="en-US" w:eastAsia="zh-CN"/>
              </w:rPr>
              <w:t>武定县</w:t>
            </w:r>
          </w:p>
        </w:tc>
        <w:tc>
          <w:tcPr>
            <w:tcW w:w="1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cs="Times New Roman"/>
                <w:b w:val="0"/>
                <w:bCs w:val="0"/>
                <w:sz w:val="32"/>
                <w:szCs w:val="32"/>
                <w:vertAlign w:val="baseline"/>
                <w:lang w:val="en-US" w:eastAsia="zh-CN"/>
              </w:rPr>
            </w:pPr>
            <w:r>
              <w:rPr>
                <w:rFonts w:hint="eastAsia" w:ascii="Times New Roman" w:hAnsi="Times New Roman" w:eastAsia="方正仿宋简体" w:cs="Times New Roman"/>
                <w:b w:val="0"/>
                <w:bCs w:val="0"/>
                <w:sz w:val="32"/>
                <w:szCs w:val="32"/>
                <w:vertAlign w:val="baseline"/>
                <w:lang w:val="en-US" w:eastAsia="zh-CN"/>
              </w:rPr>
              <w:t>3604</w:t>
            </w:r>
          </w:p>
        </w:tc>
        <w:tc>
          <w:tcPr>
            <w:tcW w:w="31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b w:val="0"/>
                <w:bCs w:val="0"/>
                <w:sz w:val="32"/>
                <w:szCs w:val="32"/>
                <w:vertAlign w:val="baseline"/>
                <w:lang w:val="en-US" w:eastAsia="zh-CN"/>
              </w:rPr>
            </w:pPr>
            <w:r>
              <w:rPr>
                <w:rFonts w:hint="eastAsia" w:ascii="Times New Roman" w:hAnsi="Times New Roman" w:eastAsia="方正仿宋简体" w:cs="Times New Roman"/>
                <w:b w:val="0"/>
                <w:bCs w:val="0"/>
                <w:sz w:val="32"/>
                <w:szCs w:val="32"/>
                <w:vertAlign w:val="baseline"/>
                <w:lang w:val="en-US" w:eastAsia="zh-CN"/>
              </w:rPr>
              <w:t>3604</w:t>
            </w:r>
          </w:p>
        </w:tc>
        <w:tc>
          <w:tcPr>
            <w:tcW w:w="16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仿宋简体" w:hAnsi="方正仿宋简体" w:eastAsia="方正仿宋简体" w:cs="方正仿宋简体"/>
                <w:b/>
                <w:bCs/>
                <w:sz w:val="32"/>
                <w:szCs w:val="32"/>
                <w:vertAlign w:val="baseline"/>
                <w:lang w:val="en-US" w:eastAsia="zh-CN"/>
              </w:rPr>
            </w:pPr>
            <w:r>
              <w:rPr>
                <w:rFonts w:hint="eastAsia" w:ascii="方正仿宋简体" w:hAnsi="方正仿宋简体" w:eastAsia="方正仿宋简体" w:cs="方正仿宋简体"/>
                <w:b/>
                <w:bCs/>
                <w:sz w:val="32"/>
                <w:szCs w:val="32"/>
                <w:vertAlign w:val="baseline"/>
                <w:lang w:val="en-US" w:eastAsia="zh-CN"/>
              </w:rPr>
              <w:t>合计</w:t>
            </w:r>
          </w:p>
        </w:tc>
        <w:tc>
          <w:tcPr>
            <w:tcW w:w="1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imes New Roman" w:hAnsi="Times New Roman" w:eastAsia="方正仿宋简体" w:cs="Times New Roman"/>
                <w:sz w:val="32"/>
                <w:szCs w:val="32"/>
                <w:vertAlign w:val="baseline"/>
                <w:lang w:val="en-US" w:eastAsia="zh-CN"/>
              </w:rPr>
            </w:pPr>
            <w:r>
              <w:rPr>
                <w:rFonts w:hint="eastAsia" w:ascii="Times New Roman" w:hAnsi="Times New Roman" w:eastAsia="方正仿宋简体" w:cs="Times New Roman"/>
                <w:sz w:val="32"/>
                <w:szCs w:val="32"/>
                <w:vertAlign w:val="baseline"/>
                <w:lang w:val="en-US" w:eastAsia="zh-CN"/>
              </w:rPr>
              <w:t>13346.92</w:t>
            </w:r>
          </w:p>
        </w:tc>
        <w:tc>
          <w:tcPr>
            <w:tcW w:w="31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仿宋简体" w:cs="Times New Roman"/>
                <w:sz w:val="32"/>
                <w:szCs w:val="32"/>
                <w:vertAlign w:val="baseline"/>
                <w:lang w:val="en-US" w:eastAsia="zh-CN"/>
              </w:rPr>
            </w:pPr>
            <w:r>
              <w:rPr>
                <w:rFonts w:hint="eastAsia" w:ascii="Times New Roman" w:hAnsi="Times New Roman" w:eastAsia="方正仿宋简体" w:cs="Times New Roman"/>
                <w:sz w:val="32"/>
                <w:szCs w:val="32"/>
                <w:vertAlign w:val="baseline"/>
                <w:lang w:val="en-US" w:eastAsia="zh-CN"/>
              </w:rPr>
              <w:t>13346.92</w:t>
            </w:r>
          </w:p>
        </w:tc>
        <w:tc>
          <w:tcPr>
            <w:tcW w:w="16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仿宋简体" w:cs="Times New Roman"/>
                <w:sz w:val="32"/>
                <w:szCs w:val="32"/>
                <w:vertAlign w:val="baseline"/>
                <w:lang w:val="en-US" w:eastAsia="zh-CN"/>
              </w:rPr>
            </w:pPr>
          </w:p>
        </w:tc>
      </w:tr>
    </w:tbl>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600" w:lineRule="exact"/>
        <w:ind w:right="0" w:rightChars="0"/>
        <w:jc w:val="both"/>
        <w:textAlignment w:val="auto"/>
        <w:outlineLvl w:val="9"/>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600" w:lineRule="exact"/>
        <w:ind w:left="0" w:leftChars="0" w:right="0" w:rightChars="0" w:firstLine="300" w:firstLineChars="100"/>
        <w:jc w:val="both"/>
        <w:textAlignment w:val="auto"/>
        <w:outlineLvl w:val="9"/>
        <w:rPr>
          <w:rFonts w:hint="eastAsia" w:ascii="Times New Roman" w:hAnsi="Times New Roman" w:eastAsia="方正仿宋简体"/>
          <w:sz w:val="30"/>
          <w:szCs w:val="30"/>
          <w:lang w:val="en-US" w:eastAsia="zh-CN"/>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600" w:lineRule="exact"/>
        <w:ind w:left="0" w:leftChars="0" w:right="0" w:rightChars="0" w:firstLine="300" w:firstLineChars="100"/>
        <w:jc w:val="both"/>
        <w:textAlignment w:val="auto"/>
        <w:outlineLvl w:val="9"/>
        <w:rPr>
          <w:rFonts w:hint="eastAsia" w:ascii="Times New Roman" w:hAnsi="Times New Roman" w:eastAsia="方正仿宋简体"/>
          <w:sz w:val="30"/>
          <w:szCs w:val="30"/>
          <w:lang w:val="en-US" w:eastAsia="zh-CN"/>
        </w:rPr>
      </w:pPr>
    </w:p>
    <w:sectPr>
      <w:headerReference r:id="rId3" w:type="default"/>
      <w:footerReference r:id="rId4" w:type="default"/>
      <w:pgSz w:w="11906" w:h="16838"/>
      <w:pgMar w:top="1871" w:right="1587" w:bottom="1928" w:left="1587" w:header="851" w:footer="1417" w:gutter="0"/>
      <w:pgBorders>
        <w:top w:val="none" w:color="auto" w:sz="0" w:space="0"/>
        <w:left w:val="none" w:color="auto" w:sz="0" w:space="0"/>
        <w:bottom w:val="none" w:color="auto" w:sz="0" w:space="0"/>
        <w:right w:val="none" w:color="auto" w:sz="0" w:space="0"/>
      </w:pgBorders>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A2011B"/>
    <w:rsid w:val="13B507F9"/>
    <w:rsid w:val="171803D5"/>
    <w:rsid w:val="1C825525"/>
    <w:rsid w:val="1DC4508C"/>
    <w:rsid w:val="1F747253"/>
    <w:rsid w:val="202A7DA5"/>
    <w:rsid w:val="268128C5"/>
    <w:rsid w:val="29D95600"/>
    <w:rsid w:val="2AEC2484"/>
    <w:rsid w:val="3403178C"/>
    <w:rsid w:val="34CC4FD9"/>
    <w:rsid w:val="3AE41937"/>
    <w:rsid w:val="413E5FAD"/>
    <w:rsid w:val="42D22EFB"/>
    <w:rsid w:val="448C1390"/>
    <w:rsid w:val="45285C80"/>
    <w:rsid w:val="47A03B29"/>
    <w:rsid w:val="4C6D4606"/>
    <w:rsid w:val="501A672E"/>
    <w:rsid w:val="50801A6F"/>
    <w:rsid w:val="55F75762"/>
    <w:rsid w:val="55F906E8"/>
    <w:rsid w:val="56C62FB7"/>
    <w:rsid w:val="6E803AA9"/>
    <w:rsid w:val="763F2919"/>
    <w:rsid w:val="79E16D9D"/>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陈鸣雁</cp:lastModifiedBy>
  <cp:lastPrinted>2019-12-20T01:58:07Z</cp:lastPrinted>
  <dcterms:modified xsi:type="dcterms:W3CDTF">2019-12-20T02:27:43Z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