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eastAsia="zh-CN"/>
        </w:rPr>
        <w:t>楚财整合〔</w:t>
      </w:r>
      <w:r>
        <w:rPr>
          <w:rFonts w:hint="eastAsia" w:ascii="Times New Roman" w:hAnsi="Times New Roman" w:eastAsia="方正仿宋简体" w:cs="方正仿宋简体"/>
          <w:sz w:val="32"/>
          <w:szCs w:val="32"/>
          <w:lang w:val="en-US" w:eastAsia="zh-CN"/>
        </w:rPr>
        <w:t>2019〕31号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eastAsia="zh-CN"/>
        </w:rPr>
        <w:t>楚雄州财政局关于提前下达贫困县</w:t>
      </w:r>
      <w:r>
        <w:rPr>
          <w:rFonts w:hint="eastAsia" w:ascii="Times New Roman" w:hAnsi="Times New Roman" w:eastAsia="方正小标宋简体" w:cs="方正小标宋简体"/>
          <w:sz w:val="44"/>
          <w:szCs w:val="44"/>
          <w:lang w:val="en-US" w:eastAsia="zh-CN"/>
        </w:rPr>
        <w:t>2020年度第二批中央财政专项扶贫资金的通知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Times New Roman" w:hAnsi="Times New Roman"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各相关县财政局：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简体"/>
          <w:sz w:val="32"/>
          <w:szCs w:val="32"/>
          <w:lang w:val="en-US" w:eastAsia="zh-CN"/>
        </w:rPr>
      </w:pPr>
      <w:r>
        <w:rPr>
          <w:rFonts w:hint="eastAsia" w:ascii="Times New Roman" w:hAnsi="Times New Roman" w:eastAsia="方正仿宋简体" w:cs="方正仿宋简体"/>
          <w:sz w:val="32"/>
          <w:szCs w:val="32"/>
          <w:lang w:val="en-US" w:eastAsia="zh-CN"/>
        </w:rPr>
        <w:t>根据《云南省财政厅关于提前下达贫困县2020年度第二批中央财政专项扶贫资金的通知》（云财整合〔2019〕35号），现将2020年度中央财政专项扶贫资金25637万元提前下达给你们（详见附表）。此款列入2020年“1100231·贫困地区转移支付收入”科目，</w:t>
      </w:r>
      <w:r>
        <w:rPr>
          <w:rFonts w:hint="eastAsia" w:ascii="Times New Roman" w:hAnsi="Times New Roman" w:eastAsia="方正仿宋简体"/>
          <w:sz w:val="32"/>
          <w:szCs w:val="32"/>
          <w:lang w:eastAsia="zh-CN"/>
        </w:rPr>
        <w:t>一般公共预算支出功能分类科目列“</w:t>
      </w:r>
      <w:r>
        <w:rPr>
          <w:rFonts w:hint="eastAsia" w:ascii="Times New Roman" w:hAnsi="Times New Roman" w:eastAsia="方正仿宋简体"/>
          <w:sz w:val="32"/>
          <w:szCs w:val="32"/>
        </w:rPr>
        <w:t>21305</w:t>
      </w:r>
      <w:r>
        <w:rPr>
          <w:rFonts w:hint="eastAsia" w:ascii="Times New Roman" w:hAnsi="Times New Roman" w:eastAsia="方正仿宋简体" w:cs="方正仿宋简体"/>
          <w:sz w:val="32"/>
          <w:szCs w:val="32"/>
        </w:rPr>
        <w:t>·</w:t>
      </w:r>
      <w:r>
        <w:rPr>
          <w:rFonts w:hint="eastAsia" w:ascii="Times New Roman" w:hAnsi="Times New Roman" w:eastAsia="方正仿宋简体"/>
          <w:sz w:val="32"/>
          <w:szCs w:val="32"/>
          <w:lang w:eastAsia="zh-CN"/>
        </w:rPr>
        <w:t>扶贫”相关科目，“项级”科目根据具体实施项目确定。政府预算支出经济分类科目列“</w:t>
      </w:r>
      <w:r>
        <w:rPr>
          <w:rFonts w:hint="eastAsia" w:ascii="Times New Roman" w:hAnsi="Times New Roman" w:eastAsia="方正仿宋简体"/>
          <w:sz w:val="32"/>
          <w:szCs w:val="32"/>
          <w:lang w:val="en-US" w:eastAsia="zh-CN"/>
        </w:rPr>
        <w:t>513</w:t>
      </w:r>
      <w:r>
        <w:rPr>
          <w:rFonts w:hint="eastAsia" w:ascii="Times New Roman" w:hAnsi="Times New Roman" w:eastAsia="方正仿宋简体" w:cs="方正仿宋简体"/>
          <w:sz w:val="32"/>
          <w:szCs w:val="32"/>
          <w:lang w:val="en-US" w:eastAsia="zh-CN"/>
        </w:rPr>
        <w:t>·</w:t>
      </w:r>
      <w:r>
        <w:rPr>
          <w:rFonts w:hint="eastAsia" w:ascii="Times New Roman" w:hAnsi="Times New Roman" w:eastAsia="方正仿宋简体"/>
          <w:sz w:val="32"/>
          <w:szCs w:val="32"/>
          <w:lang w:val="en-US" w:eastAsia="zh-CN"/>
        </w:rPr>
        <w:t>转移性支出</w:t>
      </w:r>
      <w:r>
        <w:rPr>
          <w:rFonts w:hint="eastAsia" w:ascii="Times New Roman" w:hAnsi="Times New Roman" w:eastAsia="方正仿宋简体"/>
          <w:sz w:val="32"/>
          <w:szCs w:val="32"/>
          <w:lang w:eastAsia="zh-CN"/>
        </w:rPr>
        <w:t>”</w:t>
      </w:r>
      <w:r>
        <w:rPr>
          <w:rFonts w:ascii="Times New Roman" w:hAnsi="Times New Roman" w:eastAsia="方正仿宋简体"/>
          <w:sz w:val="32"/>
          <w:szCs w:val="32"/>
        </w:rPr>
        <w:t>。</w:t>
      </w:r>
      <w:r>
        <w:rPr>
          <w:rFonts w:hint="eastAsia" w:ascii="Times New Roman" w:hAnsi="Times New Roman" w:eastAsia="方正仿宋简体"/>
          <w:sz w:val="32"/>
          <w:szCs w:val="32"/>
          <w:lang w:eastAsia="zh-CN"/>
        </w:rPr>
        <w:t>上述指标待</w:t>
      </w:r>
      <w:r>
        <w:rPr>
          <w:rFonts w:hint="eastAsia" w:ascii="Times New Roman" w:hAnsi="Times New Roman" w:eastAsia="方正仿宋简体"/>
          <w:sz w:val="32"/>
          <w:szCs w:val="32"/>
          <w:lang w:val="en-US" w:eastAsia="zh-CN"/>
        </w:rPr>
        <w:t>2020年预算年度开始后，按程序使用。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Times New Roman" w:hAnsi="Times New Roman" w:eastAsia="方正仿宋简体"/>
          <w:sz w:val="32"/>
          <w:szCs w:val="32"/>
          <w:lang w:eastAsia="zh-CN"/>
        </w:rPr>
      </w:pPr>
      <w:r>
        <w:rPr>
          <w:rFonts w:hint="eastAsia" w:ascii="Times New Roman" w:hAnsi="Times New Roman" w:eastAsia="方正仿宋简体"/>
          <w:sz w:val="32"/>
          <w:szCs w:val="32"/>
          <w:lang w:eastAsia="zh-CN"/>
        </w:rPr>
        <w:t>一、请严格按照《中央财政专项扶贫资金管理办法》（财农</w:t>
      </w:r>
      <w:r>
        <w:rPr>
          <w:rFonts w:hint="eastAsia" w:ascii="方正仿宋简体" w:hAnsi="方正仿宋简体" w:eastAsia="方正仿宋简体" w:cs="方正仿宋简体"/>
          <w:sz w:val="32"/>
          <w:szCs w:val="32"/>
          <w:lang w:eastAsia="zh-CN"/>
        </w:rPr>
        <w:t>〔</w:t>
      </w:r>
      <w:r>
        <w:rPr>
          <w:rFonts w:hint="eastAsia" w:ascii="Times New Roman" w:hAnsi="Times New Roman" w:eastAsia="方正仿宋简体"/>
          <w:sz w:val="32"/>
          <w:szCs w:val="32"/>
          <w:lang w:val="en-US" w:eastAsia="zh-CN"/>
        </w:rPr>
        <w:t>2017</w:t>
      </w:r>
      <w:r>
        <w:rPr>
          <w:rFonts w:hint="eastAsia" w:ascii="方正仿宋简体" w:hAnsi="方正仿宋简体" w:eastAsia="方正仿宋简体" w:cs="方正仿宋简体"/>
          <w:sz w:val="32"/>
          <w:szCs w:val="32"/>
          <w:lang w:val="en-US" w:eastAsia="zh-CN"/>
        </w:rPr>
        <w:t>〕</w:t>
      </w:r>
      <w:r>
        <w:rPr>
          <w:rFonts w:hint="eastAsia" w:ascii="Times New Roman" w:hAnsi="Times New Roman" w:eastAsia="方正仿宋简体"/>
          <w:sz w:val="32"/>
          <w:szCs w:val="32"/>
          <w:lang w:val="en-US" w:eastAsia="zh-CN"/>
        </w:rPr>
        <w:t>8号</w:t>
      </w:r>
      <w:r>
        <w:rPr>
          <w:rFonts w:hint="eastAsia" w:ascii="Times New Roman" w:hAnsi="Times New Roman" w:eastAsia="方正仿宋简体"/>
          <w:sz w:val="32"/>
          <w:szCs w:val="32"/>
          <w:lang w:eastAsia="zh-CN"/>
        </w:rPr>
        <w:t>）要求，坚持现行扶贫标准，加快资金支出进度，切实管好用好财政专</w:t>
      </w:r>
      <w:bookmarkStart w:id="0" w:name="_GoBack"/>
      <w:bookmarkEnd w:id="0"/>
      <w:r>
        <w:rPr>
          <w:rFonts w:hint="eastAsia" w:ascii="Times New Roman" w:hAnsi="Times New Roman" w:eastAsia="方正仿宋简体"/>
          <w:sz w:val="32"/>
          <w:szCs w:val="32"/>
          <w:lang w:eastAsia="zh-CN"/>
        </w:rPr>
        <w:t>项扶贫资金，充分发挥资金使用效益。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二、请严格按照《国务院办公厅关于支持贫困县开展统筹整合使用财政涉农资金试点的意见》（国办发</w:t>
      </w:r>
      <w:r>
        <w:rPr>
          <w:rFonts w:hint="eastAsia" w:ascii="方正仿宋简体" w:hAnsi="方正仿宋简体" w:eastAsia="方正仿宋简体" w:cs="方正仿宋简体"/>
          <w:sz w:val="32"/>
          <w:szCs w:val="32"/>
          <w:lang w:val="en-US" w:eastAsia="zh-CN"/>
        </w:rPr>
        <w:t>〔</w:t>
      </w:r>
      <w:r>
        <w:rPr>
          <w:rFonts w:hint="eastAsia" w:ascii="Times New Roman" w:hAnsi="Times New Roman" w:eastAsia="方正仿宋简体"/>
          <w:sz w:val="32"/>
          <w:szCs w:val="32"/>
          <w:lang w:val="en-US" w:eastAsia="zh-CN"/>
        </w:rPr>
        <w:t>2016</w:t>
      </w:r>
      <w:r>
        <w:rPr>
          <w:rFonts w:hint="eastAsia" w:ascii="方正仿宋简体" w:hAnsi="方正仿宋简体" w:eastAsia="方正仿宋简体" w:cs="方正仿宋简体"/>
          <w:sz w:val="32"/>
          <w:szCs w:val="32"/>
          <w:lang w:val="en-US" w:eastAsia="zh-CN"/>
        </w:rPr>
        <w:t>〕</w:t>
      </w:r>
      <w:r>
        <w:rPr>
          <w:rFonts w:hint="eastAsia" w:ascii="Times New Roman" w:hAnsi="Times New Roman" w:eastAsia="方正仿宋简体"/>
          <w:sz w:val="32"/>
          <w:szCs w:val="32"/>
          <w:lang w:val="en-US" w:eastAsia="zh-CN"/>
        </w:rPr>
        <w:t>22号）及财政部、国务院扶贫办有关工作要求，支持各贫困县统筹整合使用资金，在农业生产发展和农村基础设施范围内安排支出，严格遵守负面清单，资金使用与脱贫成效紧密挂钩。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default"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三、加强专项扶贫资金管理，全面实施扶贫项目资金绩效管理，落实公开公示制度，充分利用财政扶贫资金动态监控平台，切实强化资金监管，及时掌握财政专项扶贫资金使用管理情况。资金使用管理过程中的经验、问题和建议及时反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598" w:leftChars="304" w:right="0" w:rightChars="0" w:hanging="960" w:hangingChars="300"/>
        <w:jc w:val="both"/>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附件：2020年第二批中央财政专项扶贫资金提前下达表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right="0" w:rightChars="0" w:firstLine="5440" w:firstLineChars="1700"/>
        <w:jc w:val="both"/>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楚雄州财政局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5760" w:firstLineChars="1800"/>
        <w:jc w:val="both"/>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2019年12月16日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pBdr>
          <w:top w:val="single" w:color="auto" w:sz="4"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left="0" w:leftChars="0" w:right="0" w:rightChars="0" w:firstLine="300" w:firstLineChars="100"/>
        <w:jc w:val="both"/>
        <w:textAlignment w:val="auto"/>
        <w:outlineLvl w:val="9"/>
        <w:rPr>
          <w:rFonts w:hint="eastAsia" w:ascii="Times New Roman" w:hAnsi="Times New Roman" w:eastAsia="方正仿宋简体"/>
          <w:sz w:val="30"/>
          <w:szCs w:val="30"/>
          <w:lang w:val="en-US" w:eastAsia="zh-CN"/>
        </w:rPr>
      </w:pPr>
      <w:r>
        <w:rPr>
          <w:rFonts w:hint="eastAsia" w:ascii="Times New Roman" w:hAnsi="Times New Roman" w:eastAsia="方正仿宋简体"/>
          <w:sz w:val="30"/>
          <w:szCs w:val="30"/>
          <w:lang w:val="en-US" w:eastAsia="zh-CN"/>
        </w:rPr>
        <w:t>抄送：州民宗委，州扶贫办，本局预算科、国库科。</w:t>
      </w:r>
    </w:p>
    <w:p>
      <w:pPr>
        <w:keepNext w:val="0"/>
        <w:keepLines w:val="0"/>
        <w:pageBreakBefore w:val="0"/>
        <w:widowControl w:val="0"/>
        <w:numPr>
          <w:ilvl w:val="0"/>
          <w:numId w:val="0"/>
        </w:numPr>
        <w:pBdr>
          <w:top w:val="single" w:color="auto" w:sz="4" w:space="1"/>
          <w:left w:val="none" w:color="auto" w:sz="0" w:space="4"/>
          <w:bottom w:val="single" w:color="auto" w:sz="4" w:space="1"/>
          <w:right w:val="none" w:color="auto" w:sz="0" w:space="4"/>
          <w:between w:val="none" w:color="auto" w:sz="0" w:space="0"/>
        </w:pBdr>
        <w:kinsoku/>
        <w:wordWrap/>
        <w:overflowPunct/>
        <w:topLinePunct w:val="0"/>
        <w:autoSpaceDE/>
        <w:autoSpaceDN/>
        <w:bidi w:val="0"/>
        <w:adjustRightInd/>
        <w:snapToGrid/>
        <w:spacing w:line="600" w:lineRule="exact"/>
        <w:ind w:left="0" w:leftChars="0" w:right="0" w:rightChars="0" w:firstLine="300" w:firstLineChars="100"/>
        <w:jc w:val="both"/>
        <w:textAlignment w:val="auto"/>
        <w:outlineLvl w:val="9"/>
        <w:rPr>
          <w:rFonts w:hint="eastAsia" w:ascii="Times New Roman" w:hAnsi="Times New Roman" w:eastAsia="方正仿宋简体"/>
          <w:sz w:val="30"/>
          <w:szCs w:val="30"/>
          <w:lang w:val="en-US" w:eastAsia="zh-CN"/>
        </w:rPr>
      </w:pPr>
      <w:r>
        <w:rPr>
          <w:rFonts w:hint="eastAsia" w:ascii="Times New Roman" w:hAnsi="Times New Roman" w:eastAsia="方正仿宋简体"/>
          <w:sz w:val="30"/>
          <w:szCs w:val="30"/>
          <w:lang w:val="en-US" w:eastAsia="zh-CN"/>
        </w:rPr>
        <w:t>楚雄州财政局办公室                2019年12月16日印发</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2020年第二批中央财政专项扶贫资金测算分配表</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（贫困县）</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简体" w:hAnsi="方正仿宋简体" w:eastAsia="方正仿宋简体" w:cs="方正仿宋简体"/>
          <w:sz w:val="32"/>
          <w:szCs w:val="32"/>
          <w:lang w:val="en-US" w:eastAsia="zh-CN"/>
        </w:rPr>
      </w:pPr>
      <w:r>
        <w:rPr>
          <w:rFonts w:hint="eastAsia" w:ascii="方正小标宋简体" w:hAnsi="方正小标宋简体" w:eastAsia="方正小标宋简体" w:cs="方正小标宋简体"/>
          <w:sz w:val="32"/>
          <w:szCs w:val="32"/>
          <w:lang w:val="en-US" w:eastAsia="zh-CN"/>
        </w:rPr>
        <w:t xml:space="preserve">                                    </w:t>
      </w:r>
      <w:r>
        <w:rPr>
          <w:rFonts w:hint="eastAsia" w:ascii="方正仿宋简体" w:hAnsi="方正仿宋简体" w:eastAsia="方正仿宋简体" w:cs="方正仿宋简体"/>
          <w:sz w:val="32"/>
          <w:szCs w:val="32"/>
          <w:lang w:val="en-US" w:eastAsia="zh-CN"/>
        </w:rPr>
        <w:t>单位：万元</w:t>
      </w:r>
    </w:p>
    <w:tbl>
      <w:tblPr>
        <w:tblStyle w:val="6"/>
        <w:tblW w:w="83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1320"/>
        <w:gridCol w:w="1710"/>
        <w:gridCol w:w="2235"/>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14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简体" w:hAnsi="方正仿宋简体" w:eastAsia="方正仿宋简体" w:cs="方正仿宋简体"/>
                <w:b/>
                <w:bCs/>
                <w:sz w:val="32"/>
                <w:szCs w:val="32"/>
                <w:vertAlign w:val="baseline"/>
                <w:lang w:val="en-US" w:eastAsia="zh-CN"/>
              </w:rPr>
            </w:pPr>
            <w:r>
              <w:rPr>
                <w:rFonts w:hint="eastAsia" w:ascii="方正仿宋简体" w:hAnsi="方正仿宋简体" w:eastAsia="方正仿宋简体" w:cs="方正仿宋简体"/>
                <w:b/>
                <w:bCs/>
                <w:sz w:val="32"/>
                <w:szCs w:val="32"/>
                <w:vertAlign w:val="baseline"/>
                <w:lang w:val="en-US" w:eastAsia="zh-CN"/>
              </w:rPr>
              <w:t>县市</w:t>
            </w: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简体" w:hAnsi="方正仿宋简体" w:eastAsia="方正仿宋简体" w:cs="方正仿宋简体"/>
                <w:b/>
                <w:bCs/>
                <w:sz w:val="32"/>
                <w:szCs w:val="32"/>
                <w:vertAlign w:val="baseline"/>
                <w:lang w:val="en-US" w:eastAsia="zh-CN"/>
              </w:rPr>
            </w:pPr>
            <w:r>
              <w:rPr>
                <w:rFonts w:hint="eastAsia" w:ascii="方正仿宋简体" w:hAnsi="方正仿宋简体" w:eastAsia="方正仿宋简体" w:cs="方正仿宋简体"/>
                <w:b/>
                <w:bCs/>
                <w:sz w:val="32"/>
                <w:szCs w:val="32"/>
                <w:vertAlign w:val="baseline"/>
                <w:lang w:val="en-US" w:eastAsia="zh-CN"/>
              </w:rPr>
              <w:t>合计</w:t>
            </w:r>
          </w:p>
        </w:tc>
        <w:tc>
          <w:tcPr>
            <w:tcW w:w="17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简体" w:hAnsi="方正仿宋简体" w:eastAsia="方正仿宋简体" w:cs="方正仿宋简体"/>
                <w:b/>
                <w:bCs/>
                <w:sz w:val="32"/>
                <w:szCs w:val="32"/>
                <w:vertAlign w:val="baseline"/>
                <w:lang w:val="en-US" w:eastAsia="zh-CN"/>
              </w:rPr>
            </w:pPr>
            <w:r>
              <w:rPr>
                <w:rFonts w:hint="eastAsia" w:ascii="方正仿宋简体" w:hAnsi="方正仿宋简体" w:eastAsia="方正仿宋简体" w:cs="方正仿宋简体"/>
                <w:b/>
                <w:bCs/>
                <w:sz w:val="32"/>
                <w:szCs w:val="32"/>
                <w:vertAlign w:val="baseline"/>
                <w:lang w:val="en-US" w:eastAsia="zh-CN"/>
              </w:rPr>
              <w:t>扶贫发展</w:t>
            </w:r>
          </w:p>
        </w:tc>
        <w:tc>
          <w:tcPr>
            <w:tcW w:w="22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简体" w:hAnsi="方正仿宋简体" w:eastAsia="方正仿宋简体" w:cs="方正仿宋简体"/>
                <w:b/>
                <w:bCs/>
                <w:sz w:val="32"/>
                <w:szCs w:val="32"/>
                <w:vertAlign w:val="baseline"/>
                <w:lang w:val="en-US" w:eastAsia="zh-CN"/>
              </w:rPr>
            </w:pPr>
            <w:r>
              <w:rPr>
                <w:rFonts w:hint="eastAsia" w:ascii="方正仿宋简体" w:hAnsi="方正仿宋简体" w:eastAsia="方正仿宋简体" w:cs="方正仿宋简体"/>
                <w:b/>
                <w:bCs/>
                <w:sz w:val="32"/>
                <w:szCs w:val="32"/>
                <w:vertAlign w:val="baseline"/>
                <w:lang w:val="en-US" w:eastAsia="zh-CN"/>
              </w:rPr>
              <w:t>少数民族发展</w:t>
            </w:r>
          </w:p>
        </w:tc>
        <w:tc>
          <w:tcPr>
            <w:tcW w:w="16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简体" w:hAnsi="方正仿宋简体" w:eastAsia="方正仿宋简体" w:cs="方正仿宋简体"/>
                <w:b/>
                <w:bCs/>
                <w:sz w:val="32"/>
                <w:szCs w:val="32"/>
                <w:vertAlign w:val="baseline"/>
                <w:lang w:val="en-US" w:eastAsia="zh-CN"/>
              </w:rPr>
            </w:pPr>
            <w:r>
              <w:rPr>
                <w:rFonts w:hint="eastAsia" w:ascii="方正仿宋简体" w:hAnsi="方正仿宋简体" w:eastAsia="方正仿宋简体" w:cs="方正仿宋简体"/>
                <w:b/>
                <w:bCs/>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双柏县</w:t>
            </w: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default" w:ascii="Times New Roman" w:hAnsi="Times New Roman" w:eastAsia="方正仿宋简体" w:cs="Times New Roman"/>
                <w:sz w:val="32"/>
                <w:szCs w:val="32"/>
                <w:vertAlign w:val="baseline"/>
                <w:lang w:val="en-US" w:eastAsia="zh-CN"/>
              </w:rPr>
              <w:t>2755</w:t>
            </w:r>
          </w:p>
        </w:tc>
        <w:tc>
          <w:tcPr>
            <w:tcW w:w="17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default" w:ascii="Times New Roman" w:hAnsi="Times New Roman" w:eastAsia="方正仿宋简体" w:cs="Times New Roman"/>
                <w:sz w:val="32"/>
                <w:szCs w:val="32"/>
                <w:vertAlign w:val="baseline"/>
                <w:lang w:val="en-US" w:eastAsia="zh-CN"/>
              </w:rPr>
              <w:t>2355</w:t>
            </w:r>
          </w:p>
        </w:tc>
        <w:tc>
          <w:tcPr>
            <w:tcW w:w="22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default" w:ascii="Times New Roman" w:hAnsi="Times New Roman" w:eastAsia="方正仿宋简体" w:cs="Times New Roman"/>
                <w:sz w:val="32"/>
                <w:szCs w:val="32"/>
                <w:vertAlign w:val="baseline"/>
                <w:lang w:val="en-US" w:eastAsia="zh-CN"/>
              </w:rPr>
              <w:t>400</w:t>
            </w:r>
          </w:p>
        </w:tc>
        <w:tc>
          <w:tcPr>
            <w:tcW w:w="16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牟定县</w:t>
            </w: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default" w:ascii="Times New Roman" w:hAnsi="Times New Roman" w:eastAsia="方正仿宋简体" w:cs="Times New Roman"/>
                <w:sz w:val="32"/>
                <w:szCs w:val="32"/>
                <w:vertAlign w:val="baseline"/>
                <w:lang w:val="en-US" w:eastAsia="zh-CN"/>
              </w:rPr>
              <w:t>1291</w:t>
            </w:r>
          </w:p>
        </w:tc>
        <w:tc>
          <w:tcPr>
            <w:tcW w:w="17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default" w:ascii="Times New Roman" w:hAnsi="Times New Roman" w:eastAsia="方正仿宋简体" w:cs="Times New Roman"/>
                <w:sz w:val="32"/>
                <w:szCs w:val="32"/>
                <w:vertAlign w:val="baseline"/>
                <w:lang w:val="en-US" w:eastAsia="zh-CN"/>
              </w:rPr>
              <w:t>891</w:t>
            </w:r>
          </w:p>
        </w:tc>
        <w:tc>
          <w:tcPr>
            <w:tcW w:w="22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default" w:ascii="Times New Roman" w:hAnsi="Times New Roman" w:eastAsia="方正仿宋简体" w:cs="Times New Roman"/>
                <w:sz w:val="32"/>
                <w:szCs w:val="32"/>
                <w:vertAlign w:val="baseline"/>
                <w:lang w:val="en-US" w:eastAsia="zh-CN"/>
              </w:rPr>
              <w:t>400</w:t>
            </w:r>
          </w:p>
        </w:tc>
        <w:tc>
          <w:tcPr>
            <w:tcW w:w="16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南华县</w:t>
            </w: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default" w:ascii="Times New Roman" w:hAnsi="Times New Roman" w:eastAsia="方正仿宋简体" w:cs="Times New Roman"/>
                <w:sz w:val="32"/>
                <w:szCs w:val="32"/>
                <w:vertAlign w:val="baseline"/>
                <w:lang w:val="en-US" w:eastAsia="zh-CN"/>
              </w:rPr>
              <w:t>2841</w:t>
            </w:r>
          </w:p>
        </w:tc>
        <w:tc>
          <w:tcPr>
            <w:tcW w:w="17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default" w:ascii="Times New Roman" w:hAnsi="Times New Roman" w:eastAsia="方正仿宋简体" w:cs="Times New Roman"/>
                <w:sz w:val="32"/>
                <w:szCs w:val="32"/>
                <w:vertAlign w:val="baseline"/>
                <w:lang w:val="en-US" w:eastAsia="zh-CN"/>
              </w:rPr>
              <w:t>2441</w:t>
            </w:r>
          </w:p>
        </w:tc>
        <w:tc>
          <w:tcPr>
            <w:tcW w:w="22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default" w:ascii="Times New Roman" w:hAnsi="Times New Roman" w:eastAsia="方正仿宋简体" w:cs="Times New Roman"/>
                <w:sz w:val="32"/>
                <w:szCs w:val="32"/>
                <w:vertAlign w:val="baseline"/>
                <w:lang w:val="en-US" w:eastAsia="zh-CN"/>
              </w:rPr>
              <w:t>400</w:t>
            </w:r>
          </w:p>
        </w:tc>
        <w:tc>
          <w:tcPr>
            <w:tcW w:w="16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姚安县</w:t>
            </w: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default" w:ascii="Times New Roman" w:hAnsi="Times New Roman" w:eastAsia="方正仿宋简体" w:cs="Times New Roman"/>
                <w:sz w:val="32"/>
                <w:szCs w:val="32"/>
                <w:vertAlign w:val="baseline"/>
                <w:lang w:val="en-US" w:eastAsia="zh-CN"/>
              </w:rPr>
              <w:t>2188</w:t>
            </w:r>
          </w:p>
        </w:tc>
        <w:tc>
          <w:tcPr>
            <w:tcW w:w="17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default" w:ascii="Times New Roman" w:hAnsi="Times New Roman" w:eastAsia="方正仿宋简体" w:cs="Times New Roman"/>
                <w:sz w:val="32"/>
                <w:szCs w:val="32"/>
                <w:vertAlign w:val="baseline"/>
                <w:lang w:val="en-US" w:eastAsia="zh-CN"/>
              </w:rPr>
              <w:t>1788</w:t>
            </w:r>
          </w:p>
        </w:tc>
        <w:tc>
          <w:tcPr>
            <w:tcW w:w="22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default" w:ascii="Times New Roman" w:hAnsi="Times New Roman" w:eastAsia="方正仿宋简体" w:cs="Times New Roman"/>
                <w:sz w:val="32"/>
                <w:szCs w:val="32"/>
                <w:vertAlign w:val="baseline"/>
                <w:lang w:val="en-US" w:eastAsia="zh-CN"/>
              </w:rPr>
              <w:t>400</w:t>
            </w:r>
          </w:p>
        </w:tc>
        <w:tc>
          <w:tcPr>
            <w:tcW w:w="16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大姚县</w:t>
            </w: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default" w:ascii="Times New Roman" w:hAnsi="Times New Roman" w:eastAsia="方正仿宋简体" w:cs="Times New Roman"/>
                <w:sz w:val="32"/>
                <w:szCs w:val="32"/>
                <w:vertAlign w:val="baseline"/>
                <w:lang w:val="en-US" w:eastAsia="zh-CN"/>
              </w:rPr>
              <w:t>4183</w:t>
            </w:r>
          </w:p>
        </w:tc>
        <w:tc>
          <w:tcPr>
            <w:tcW w:w="17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default" w:ascii="Times New Roman" w:hAnsi="Times New Roman" w:eastAsia="方正仿宋简体" w:cs="Times New Roman"/>
                <w:sz w:val="32"/>
                <w:szCs w:val="32"/>
                <w:vertAlign w:val="baseline"/>
                <w:lang w:val="en-US" w:eastAsia="zh-CN"/>
              </w:rPr>
              <w:t>3783</w:t>
            </w:r>
          </w:p>
        </w:tc>
        <w:tc>
          <w:tcPr>
            <w:tcW w:w="22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default" w:ascii="Times New Roman" w:hAnsi="Times New Roman" w:eastAsia="方正仿宋简体" w:cs="Times New Roman"/>
                <w:sz w:val="32"/>
                <w:szCs w:val="32"/>
                <w:vertAlign w:val="baseline"/>
                <w:lang w:val="en-US" w:eastAsia="zh-CN"/>
              </w:rPr>
              <w:t>400</w:t>
            </w:r>
          </w:p>
        </w:tc>
        <w:tc>
          <w:tcPr>
            <w:tcW w:w="16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永仁县</w:t>
            </w: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default" w:ascii="Times New Roman" w:hAnsi="Times New Roman" w:eastAsia="方正仿宋简体" w:cs="Times New Roman"/>
                <w:sz w:val="32"/>
                <w:szCs w:val="32"/>
                <w:vertAlign w:val="baseline"/>
                <w:lang w:val="en-US" w:eastAsia="zh-CN"/>
              </w:rPr>
              <w:t>2433</w:t>
            </w:r>
          </w:p>
        </w:tc>
        <w:tc>
          <w:tcPr>
            <w:tcW w:w="17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default" w:ascii="Times New Roman" w:hAnsi="Times New Roman" w:eastAsia="方正仿宋简体" w:cs="Times New Roman"/>
                <w:sz w:val="32"/>
                <w:szCs w:val="32"/>
                <w:vertAlign w:val="baseline"/>
                <w:lang w:val="en-US" w:eastAsia="zh-CN"/>
              </w:rPr>
              <w:t>2033</w:t>
            </w:r>
          </w:p>
        </w:tc>
        <w:tc>
          <w:tcPr>
            <w:tcW w:w="22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default" w:ascii="Times New Roman" w:hAnsi="Times New Roman" w:eastAsia="方正仿宋简体" w:cs="Times New Roman"/>
                <w:sz w:val="32"/>
                <w:szCs w:val="32"/>
                <w:vertAlign w:val="baseline"/>
                <w:lang w:val="en-US" w:eastAsia="zh-CN"/>
              </w:rPr>
              <w:t>400</w:t>
            </w:r>
          </w:p>
        </w:tc>
        <w:tc>
          <w:tcPr>
            <w:tcW w:w="16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武定县</w:t>
            </w: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default" w:ascii="Times New Roman" w:hAnsi="Times New Roman" w:eastAsia="方正仿宋简体" w:cs="Times New Roman"/>
                <w:sz w:val="32"/>
                <w:szCs w:val="32"/>
                <w:vertAlign w:val="baseline"/>
                <w:lang w:val="en-US" w:eastAsia="zh-CN"/>
              </w:rPr>
              <w:t>9946</w:t>
            </w:r>
          </w:p>
        </w:tc>
        <w:tc>
          <w:tcPr>
            <w:tcW w:w="17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default" w:ascii="Times New Roman" w:hAnsi="Times New Roman" w:eastAsia="方正仿宋简体" w:cs="Times New Roman"/>
                <w:sz w:val="32"/>
                <w:szCs w:val="32"/>
                <w:vertAlign w:val="baseline"/>
                <w:lang w:val="en-US" w:eastAsia="zh-CN"/>
              </w:rPr>
              <w:t>9346</w:t>
            </w:r>
          </w:p>
        </w:tc>
        <w:tc>
          <w:tcPr>
            <w:tcW w:w="22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default" w:ascii="Times New Roman" w:hAnsi="Times New Roman" w:eastAsia="方正仿宋简体" w:cs="Times New Roman"/>
                <w:sz w:val="32"/>
                <w:szCs w:val="32"/>
                <w:vertAlign w:val="baseline"/>
                <w:lang w:val="en-US" w:eastAsia="zh-CN"/>
              </w:rPr>
              <w:t>600</w:t>
            </w:r>
          </w:p>
        </w:tc>
        <w:tc>
          <w:tcPr>
            <w:tcW w:w="16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b/>
                <w:bCs/>
                <w:sz w:val="32"/>
                <w:szCs w:val="32"/>
                <w:vertAlign w:val="baseline"/>
                <w:lang w:val="en-US" w:eastAsia="zh-CN"/>
              </w:rPr>
              <w:t>合计</w:t>
            </w: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default" w:ascii="Times New Roman" w:hAnsi="Times New Roman" w:eastAsia="方正仿宋简体" w:cs="Times New Roman"/>
                <w:sz w:val="32"/>
                <w:szCs w:val="32"/>
                <w:vertAlign w:val="baseline"/>
                <w:lang w:val="en-US" w:eastAsia="zh-CN"/>
              </w:rPr>
              <w:t>25637</w:t>
            </w:r>
          </w:p>
        </w:tc>
        <w:tc>
          <w:tcPr>
            <w:tcW w:w="17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default" w:ascii="Times New Roman" w:hAnsi="Times New Roman" w:eastAsia="方正仿宋简体" w:cs="Times New Roman"/>
                <w:sz w:val="32"/>
                <w:szCs w:val="32"/>
                <w:vertAlign w:val="baseline"/>
                <w:lang w:val="en-US" w:eastAsia="zh-CN"/>
              </w:rPr>
              <w:t>22637</w:t>
            </w:r>
          </w:p>
        </w:tc>
        <w:tc>
          <w:tcPr>
            <w:tcW w:w="22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default" w:ascii="Times New Roman" w:hAnsi="Times New Roman" w:eastAsia="方正仿宋简体" w:cs="Times New Roman"/>
                <w:sz w:val="32"/>
                <w:szCs w:val="32"/>
                <w:vertAlign w:val="baseline"/>
                <w:lang w:val="en-US" w:eastAsia="zh-CN"/>
              </w:rPr>
              <w:t>3000</w:t>
            </w:r>
          </w:p>
        </w:tc>
        <w:tc>
          <w:tcPr>
            <w:tcW w:w="16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p>
        </w:tc>
      </w:tr>
    </w:tbl>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right="0" w:rightChars="0"/>
        <w:jc w:val="both"/>
        <w:textAlignment w:val="auto"/>
        <w:outlineLvl w:val="9"/>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left="0" w:leftChars="0" w:right="0" w:rightChars="0" w:firstLine="300" w:firstLineChars="100"/>
        <w:jc w:val="both"/>
        <w:textAlignment w:val="auto"/>
        <w:outlineLvl w:val="9"/>
        <w:rPr>
          <w:rFonts w:hint="eastAsia" w:ascii="Times New Roman" w:hAnsi="Times New Roman" w:eastAsia="方正仿宋简体"/>
          <w:sz w:val="30"/>
          <w:szCs w:val="30"/>
          <w:lang w:val="en-US" w:eastAsia="zh-CN"/>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left="0" w:leftChars="0" w:right="0" w:rightChars="0" w:firstLine="300" w:firstLineChars="100"/>
        <w:jc w:val="both"/>
        <w:textAlignment w:val="auto"/>
        <w:outlineLvl w:val="9"/>
        <w:rPr>
          <w:rFonts w:hint="eastAsia" w:ascii="Times New Roman" w:hAnsi="Times New Roman" w:eastAsia="方正仿宋简体"/>
          <w:sz w:val="30"/>
          <w:szCs w:val="30"/>
          <w:lang w:val="en-US" w:eastAsia="zh-CN"/>
        </w:rPr>
      </w:pPr>
    </w:p>
    <w:sectPr>
      <w:headerReference r:id="rId3" w:type="default"/>
      <w:footerReference r:id="rId4" w:type="default"/>
      <w:pgSz w:w="11906" w:h="16838"/>
      <w:pgMar w:top="1871" w:right="1587" w:bottom="1928" w:left="1587" w:header="851" w:footer="1417" w:gutter="0"/>
      <w:pgBorders>
        <w:top w:val="none" w:color="auto" w:sz="0" w:space="0"/>
        <w:left w:val="none" w:color="auto" w:sz="0" w:space="0"/>
        <w:bottom w:val="none" w:color="auto" w:sz="0" w:space="0"/>
        <w:right w:val="none" w:color="auto" w:sz="0" w:space="0"/>
      </w:pgBorders>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A2011B"/>
    <w:rsid w:val="13B507F9"/>
    <w:rsid w:val="171803D5"/>
    <w:rsid w:val="18AA60BB"/>
    <w:rsid w:val="1A1230A1"/>
    <w:rsid w:val="1C825525"/>
    <w:rsid w:val="1DC4508C"/>
    <w:rsid w:val="1F747253"/>
    <w:rsid w:val="202A7DA5"/>
    <w:rsid w:val="268128C5"/>
    <w:rsid w:val="2AEC2484"/>
    <w:rsid w:val="2C0B209D"/>
    <w:rsid w:val="3AE41937"/>
    <w:rsid w:val="413E5FAD"/>
    <w:rsid w:val="448C1390"/>
    <w:rsid w:val="45285C80"/>
    <w:rsid w:val="47A03B29"/>
    <w:rsid w:val="4C6D4606"/>
    <w:rsid w:val="50801A6F"/>
    <w:rsid w:val="55F906E8"/>
    <w:rsid w:val="6E803AA9"/>
    <w:rsid w:val="763F2919"/>
    <w:rsid w:val="79E16D9D"/>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陈鸣雁</cp:lastModifiedBy>
  <cp:lastPrinted>2019-12-19T08:55:01Z</cp:lastPrinted>
  <dcterms:modified xsi:type="dcterms:W3CDTF">2019-12-19T08:55:16Z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