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eastAsia="zh-CN"/>
        </w:rPr>
        <w:t>楚财整合〔</w:t>
      </w:r>
      <w:r>
        <w:rPr>
          <w:rFonts w:hint="eastAsia" w:ascii="Times New Roman" w:hAnsi="Times New Roman" w:eastAsia="方正仿宋简体" w:cs="方正仿宋简体"/>
          <w:sz w:val="32"/>
          <w:szCs w:val="32"/>
          <w:lang w:val="en-US" w:eastAsia="zh-CN"/>
        </w:rPr>
        <w:t>2019〕20号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eastAsia="zh-CN"/>
        </w:rPr>
        <w:t>楚雄州财政局关于下达</w:t>
      </w:r>
      <w:r>
        <w:rPr>
          <w:rFonts w:hint="eastAsia" w:ascii="Times New Roman" w:hAnsi="Times New Roman" w:eastAsia="方正小标宋简体" w:cs="方正小标宋简体"/>
          <w:sz w:val="44"/>
          <w:szCs w:val="44"/>
          <w:lang w:val="en-US" w:eastAsia="zh-CN"/>
        </w:rPr>
        <w:t>2019年第十七批中央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统筹整合涉农资金的通知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各相关县财政局：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方正仿宋简体"/>
          <w:sz w:val="32"/>
          <w:szCs w:val="32"/>
          <w:lang w:eastAsia="zh-CN"/>
        </w:rPr>
      </w:pPr>
      <w:r>
        <w:rPr>
          <w:rFonts w:hint="eastAsia" w:ascii="Times New Roman" w:hAnsi="Times New Roman" w:eastAsia="方正仿宋简体" w:cs="方正仿宋简体"/>
          <w:sz w:val="32"/>
          <w:szCs w:val="32"/>
          <w:lang w:val="en-US" w:eastAsia="zh-CN"/>
        </w:rPr>
        <w:t>根据《云南省财政厅关于下达2019年第十七批中央统筹整合涉农资金的通知》（云财整合〔2019〕21号），现将2019年旅游发展基金补助地方项目资金130万元下达给你们，资金统筹用于精准扶贫，列2019年政府性基金预算支出功能分类科目“2070904</w:t>
      </w:r>
      <w:r>
        <w:rPr>
          <w:rFonts w:hint="eastAsia" w:ascii="方正仿宋简体" w:hAnsi="方正仿宋简体" w:eastAsia="方正仿宋简体" w:cs="方正仿宋简体"/>
          <w:sz w:val="32"/>
          <w:szCs w:val="32"/>
          <w:lang w:val="en-US" w:eastAsia="zh-CN"/>
        </w:rPr>
        <w:t>·地方旅游开发项目补助</w:t>
      </w:r>
      <w:r>
        <w:rPr>
          <w:rFonts w:hint="eastAsia" w:ascii="Times New Roman" w:hAnsi="Times New Roman" w:eastAsia="方正仿宋简体" w:cs="方正仿宋简体"/>
          <w:sz w:val="32"/>
          <w:szCs w:val="32"/>
          <w:lang w:val="en-US" w:eastAsia="zh-CN"/>
        </w:rPr>
        <w:t>”，支出经济分类科目列“513</w:t>
      </w:r>
      <w:r>
        <w:rPr>
          <w:rFonts w:hint="eastAsia" w:ascii="方正仿宋简体" w:hAnsi="方正仿宋简体" w:eastAsia="方正仿宋简体" w:cs="方正仿宋简体"/>
          <w:sz w:val="32"/>
          <w:szCs w:val="32"/>
          <w:lang w:val="en-US" w:eastAsia="zh-CN"/>
        </w:rPr>
        <w:t>·转移性支出</w:t>
      </w:r>
      <w:r>
        <w:rPr>
          <w:rFonts w:hint="eastAsia" w:ascii="Times New Roman" w:hAnsi="Times New Roman" w:eastAsia="方正仿宋简体" w:cs="方正仿宋简体"/>
          <w:sz w:val="32"/>
          <w:szCs w:val="32"/>
          <w:lang w:val="en-US" w:eastAsia="zh-CN"/>
        </w:rPr>
        <w:t>”。</w:t>
      </w:r>
      <w:r>
        <w:rPr>
          <w:rFonts w:hint="eastAsia" w:ascii="Times New Roman" w:hAnsi="Times New Roman" w:eastAsia="方正仿宋简体"/>
          <w:sz w:val="32"/>
          <w:szCs w:val="32"/>
          <w:lang w:eastAsia="zh-CN"/>
        </w:rPr>
        <w:t>同时，提出以下要求，请一并贯彻落实。</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资金按原渠道下达到各县后，要详细记录指标来源，根据县级统筹整合资金使用方案安排预算，将调整后的预算下达给实际使用单位，按实际用途列到相应项级支出科目。</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精准使用涉农资金。各县要坚持现行脱贫标准，统筹整合涉农资金在农业生产发展和农村基础设施建设范围内安排支出。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各县要根据2019年度统筹整合使用财政涉农资金使用实施方案，及时将资金安排落实到具体项目，按照贫困县统筹整合使用财政涉农资金管理办法，切实加强资金和绩效管理，根据资金分配情况下达绩效目标，做好绩效监控，确保年度绩效目标如期实现，避免资金闲置、浪费，提高资金使用效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00" w:firstLineChars="2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附件：2019年第十七批中央统筹整合涉农资金下达表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right="0" w:rightChars="0" w:firstLine="5440" w:firstLineChars="17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5700" w:firstLineChars="19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楚雄州财政局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5700" w:firstLineChars="19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2019年8月14日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 xml:space="preserve">                                                                  </w:t>
      </w:r>
    </w:p>
    <w:p>
      <w:pPr>
        <w:keepNext w:val="0"/>
        <w:keepLines w:val="0"/>
        <w:pageBreakBefore w:val="0"/>
        <w:widowControl w:val="0"/>
        <w:numPr>
          <w:ilvl w:val="0"/>
          <w:numId w:val="0"/>
        </w:numPr>
        <w:pBdr>
          <w:top w:val="single" w:color="auto" w:sz="4"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firstLine="280" w:firstLineChars="100"/>
        <w:jc w:val="both"/>
        <w:textAlignment w:val="auto"/>
        <w:outlineLvl w:val="9"/>
        <w:rPr>
          <w:rFonts w:hint="eastAsia" w:ascii="Times New Roman" w:hAnsi="Times New Roman" w:eastAsia="方正仿宋简体"/>
          <w:sz w:val="28"/>
          <w:szCs w:val="28"/>
          <w:lang w:val="en-US" w:eastAsia="zh-CN"/>
        </w:rPr>
      </w:pPr>
      <w:r>
        <w:rPr>
          <w:rFonts w:hint="eastAsia" w:ascii="Times New Roman" w:hAnsi="Times New Roman" w:eastAsia="方正仿宋简体"/>
          <w:sz w:val="28"/>
          <w:szCs w:val="28"/>
          <w:lang w:val="en-US" w:eastAsia="zh-CN"/>
        </w:rPr>
        <w:t>抄送：州文化和旅游局，州扶贫办，本局预算科、国库科、教科文科。</w:t>
      </w:r>
    </w:p>
    <w:p>
      <w:pPr>
        <w:keepNext w:val="0"/>
        <w:keepLines w:val="0"/>
        <w:pageBreakBefore w:val="0"/>
        <w:widowControl w:val="0"/>
        <w:numPr>
          <w:ilvl w:val="0"/>
          <w:numId w:val="0"/>
        </w:numPr>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20" w:firstLineChars="100"/>
        <w:jc w:val="both"/>
        <w:textAlignment w:val="auto"/>
        <w:outlineLvl w:val="9"/>
        <w:rPr>
          <w:rFonts w:hint="eastAsia" w:ascii="Times New Roman" w:hAnsi="Times New Roman" w:eastAsia="方正仿宋简体"/>
          <w:sz w:val="28"/>
          <w:szCs w:val="28"/>
          <w:lang w:val="en-US" w:eastAsia="zh-CN"/>
        </w:rPr>
      </w:pPr>
      <w:r>
        <w:rPr>
          <w:rFonts w:hint="eastAsia" w:ascii="Times New Roman" w:hAnsi="Times New Roman" w:eastAsia="方正仿宋简体"/>
          <w:sz w:val="28"/>
          <w:szCs w:val="28"/>
          <w:lang w:val="en-US" w:eastAsia="zh-CN"/>
        </w:rPr>
        <w:t>楚雄州财政局办公室                         2019年8月14日印发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小标宋简体" w:cs="方正小标宋简体"/>
          <w:sz w:val="36"/>
          <w:szCs w:val="36"/>
          <w:lang w:val="en-US" w:eastAsia="zh-CN"/>
        </w:rPr>
      </w:pPr>
      <w:r>
        <w:rPr>
          <w:rFonts w:hint="eastAsia" w:ascii="Times New Roman" w:hAnsi="Times New Roman" w:eastAsia="方正小标宋简体" w:cs="方正小标宋简体"/>
          <w:sz w:val="36"/>
          <w:szCs w:val="36"/>
          <w:lang w:val="en-US" w:eastAsia="zh-CN"/>
        </w:rPr>
        <w:t>2019年第十七批中央统筹整合</w:t>
      </w:r>
      <w:bookmarkStart w:id="0" w:name="_GoBack"/>
      <w:bookmarkEnd w:id="0"/>
      <w:r>
        <w:rPr>
          <w:rFonts w:hint="eastAsia" w:ascii="Times New Roman" w:hAnsi="Times New Roman" w:eastAsia="方正小标宋简体" w:cs="方正小标宋简体"/>
          <w:sz w:val="36"/>
          <w:szCs w:val="36"/>
          <w:lang w:val="en-US" w:eastAsia="zh-CN"/>
        </w:rPr>
        <w:t>涉农资金下达表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0"/>
          <w:szCs w:val="30"/>
          <w:lang w:val="en-US" w:eastAsia="zh-CN"/>
        </w:rPr>
      </w:pP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0"/>
          <w:szCs w:val="30"/>
          <w:lang w:val="en-US" w:eastAsia="zh-CN"/>
        </w:rPr>
        <w:t>单位：万元</w:t>
      </w:r>
    </w:p>
    <w:tbl>
      <w:tblPr>
        <w:tblStyle w:val="6"/>
        <w:tblpPr w:leftFromText="180" w:rightFromText="180" w:vertAnchor="text" w:horzAnchor="page" w:tblpXSpec="center" w:tblpY="599"/>
        <w:tblOverlap w:val="never"/>
        <w:tblW w:w="8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273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b/>
                <w:bCs/>
                <w:sz w:val="32"/>
                <w:szCs w:val="32"/>
                <w:vertAlign w:val="baseline"/>
                <w:lang w:val="en-US" w:eastAsia="zh-CN"/>
              </w:rPr>
            </w:pPr>
            <w:r>
              <w:rPr>
                <w:rFonts w:hint="eastAsia" w:ascii="Times New Roman" w:hAnsi="Times New Roman" w:eastAsia="方正仿宋简体"/>
                <w:b/>
                <w:bCs/>
                <w:sz w:val="32"/>
                <w:szCs w:val="32"/>
                <w:vertAlign w:val="baseline"/>
                <w:lang w:val="en-US" w:eastAsia="zh-CN"/>
              </w:rPr>
              <w:t>地区</w:t>
            </w:r>
          </w:p>
        </w:tc>
        <w:tc>
          <w:tcPr>
            <w:tcW w:w="2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b/>
                <w:bCs/>
                <w:sz w:val="32"/>
                <w:szCs w:val="32"/>
                <w:vertAlign w:val="baseline"/>
                <w:lang w:val="en-US" w:eastAsia="zh-CN"/>
              </w:rPr>
            </w:pPr>
            <w:r>
              <w:rPr>
                <w:rFonts w:hint="eastAsia" w:ascii="Times New Roman" w:hAnsi="Times New Roman" w:eastAsia="方正仿宋简体"/>
                <w:b/>
                <w:bCs/>
                <w:sz w:val="32"/>
                <w:szCs w:val="32"/>
                <w:vertAlign w:val="baseline"/>
                <w:lang w:val="en-US" w:eastAsia="zh-CN"/>
              </w:rPr>
              <w:t>下达资金</w:t>
            </w:r>
          </w:p>
        </w:tc>
        <w:tc>
          <w:tcPr>
            <w:tcW w:w="2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b/>
                <w:bCs/>
                <w:sz w:val="32"/>
                <w:szCs w:val="32"/>
                <w:vertAlign w:val="baseline"/>
                <w:lang w:val="en-US" w:eastAsia="zh-CN"/>
              </w:rPr>
            </w:pPr>
            <w:r>
              <w:rPr>
                <w:rFonts w:hint="eastAsia" w:ascii="Times New Roman" w:hAnsi="Times New Roman" w:eastAsia="方正仿宋简体"/>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64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双柏县</w:t>
            </w:r>
          </w:p>
        </w:tc>
        <w:tc>
          <w:tcPr>
            <w:tcW w:w="27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20</w:t>
            </w:r>
          </w:p>
        </w:tc>
        <w:tc>
          <w:tcPr>
            <w:tcW w:w="27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64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牟定县</w:t>
            </w:r>
          </w:p>
        </w:tc>
        <w:tc>
          <w:tcPr>
            <w:tcW w:w="27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20</w:t>
            </w:r>
          </w:p>
        </w:tc>
        <w:tc>
          <w:tcPr>
            <w:tcW w:w="27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64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南华县</w:t>
            </w:r>
          </w:p>
        </w:tc>
        <w:tc>
          <w:tcPr>
            <w:tcW w:w="27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20</w:t>
            </w:r>
          </w:p>
        </w:tc>
        <w:tc>
          <w:tcPr>
            <w:tcW w:w="27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64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姚安县</w:t>
            </w:r>
          </w:p>
        </w:tc>
        <w:tc>
          <w:tcPr>
            <w:tcW w:w="27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20</w:t>
            </w:r>
          </w:p>
        </w:tc>
        <w:tc>
          <w:tcPr>
            <w:tcW w:w="27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64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大姚县</w:t>
            </w:r>
          </w:p>
        </w:tc>
        <w:tc>
          <w:tcPr>
            <w:tcW w:w="27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50</w:t>
            </w:r>
          </w:p>
        </w:tc>
        <w:tc>
          <w:tcPr>
            <w:tcW w:w="27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64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b/>
                <w:bCs/>
                <w:sz w:val="32"/>
                <w:szCs w:val="32"/>
                <w:vertAlign w:val="baseline"/>
                <w:lang w:val="en-US" w:eastAsia="zh-CN"/>
              </w:rPr>
              <w:t>合计</w:t>
            </w:r>
          </w:p>
        </w:tc>
        <w:tc>
          <w:tcPr>
            <w:tcW w:w="27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130</w:t>
            </w:r>
          </w:p>
        </w:tc>
        <w:tc>
          <w:tcPr>
            <w:tcW w:w="27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bl>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20" w:firstLineChars="100"/>
        <w:jc w:val="both"/>
        <w:textAlignment w:val="auto"/>
        <w:outlineLvl w:val="9"/>
        <w:rPr>
          <w:rFonts w:hint="eastAsia" w:ascii="Times New Roman" w:hAnsi="Times New Roman" w:eastAsia="方正仿宋简体"/>
          <w:sz w:val="28"/>
          <w:szCs w:val="28"/>
          <w:lang w:val="en-US" w:eastAsia="zh-CN"/>
        </w:rPr>
      </w:pPr>
    </w:p>
    <w:sectPr>
      <w:headerReference r:id="rId3" w:type="default"/>
      <w:footerReference r:id="rId4" w:type="default"/>
      <w:pgSz w:w="11906" w:h="16838"/>
      <w:pgMar w:top="2041" w:right="1587" w:bottom="1757" w:left="1587" w:header="0" w:footer="1587" w:gutter="0"/>
      <w:pgBorders>
        <w:top w:val="none" w:color="auto" w:sz="0" w:space="0"/>
        <w:left w:val="none" w:color="auto" w:sz="0" w:space="0"/>
        <w:bottom w:val="none" w:color="auto" w:sz="0" w:space="0"/>
        <w:right w:val="none" w:color="auto" w:sz="0" w:space="0"/>
      </w:pgBorders>
      <w:cols w:space="0" w:num="1"/>
      <w:rtlGutter w:val="0"/>
      <w:docGrid w:type="linesAndChars" w:linePitch="592" w:charSpace="-41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A0BC5"/>
    <w:multiLevelType w:val="singleLevel"/>
    <w:tmpl w:val="5B2A0BC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95"/>
  <w:drawingGridVerticalSpacing w:val="29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811C3"/>
    <w:rsid w:val="076279AC"/>
    <w:rsid w:val="0A234FB1"/>
    <w:rsid w:val="11CF2721"/>
    <w:rsid w:val="12BB483C"/>
    <w:rsid w:val="1301388A"/>
    <w:rsid w:val="130F32DF"/>
    <w:rsid w:val="13B507F9"/>
    <w:rsid w:val="165C11AE"/>
    <w:rsid w:val="171803D5"/>
    <w:rsid w:val="1C825525"/>
    <w:rsid w:val="1E860BA4"/>
    <w:rsid w:val="1F4566B5"/>
    <w:rsid w:val="256B434C"/>
    <w:rsid w:val="268128C5"/>
    <w:rsid w:val="2AEC2484"/>
    <w:rsid w:val="2EDB62A7"/>
    <w:rsid w:val="30564B1E"/>
    <w:rsid w:val="36BF62DE"/>
    <w:rsid w:val="3ABD0517"/>
    <w:rsid w:val="3E331FE3"/>
    <w:rsid w:val="44D3434D"/>
    <w:rsid w:val="47A03B29"/>
    <w:rsid w:val="49D81A76"/>
    <w:rsid w:val="4E5F0261"/>
    <w:rsid w:val="4E9933A1"/>
    <w:rsid w:val="4F5A7FCF"/>
    <w:rsid w:val="52194377"/>
    <w:rsid w:val="55125E03"/>
    <w:rsid w:val="556B3F98"/>
    <w:rsid w:val="55F906E8"/>
    <w:rsid w:val="592D5CAE"/>
    <w:rsid w:val="5DFF6933"/>
    <w:rsid w:val="61EE5E0A"/>
    <w:rsid w:val="6522265A"/>
    <w:rsid w:val="67F8695F"/>
    <w:rsid w:val="69E561D2"/>
    <w:rsid w:val="6A876C8F"/>
    <w:rsid w:val="70377031"/>
    <w:rsid w:val="74D03586"/>
    <w:rsid w:val="763F2919"/>
    <w:rsid w:val="784C5CB9"/>
    <w:rsid w:val="78B36A82"/>
    <w:rsid w:val="7B2A4F0D"/>
    <w:rsid w:val="7D60295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陈鸣雁</cp:lastModifiedBy>
  <cp:lastPrinted>2019-08-14T03:02:39Z</cp:lastPrinted>
  <dcterms:modified xsi:type="dcterms:W3CDTF">2019-08-14T03:02:49Z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